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D64CF" w14:textId="77777777" w:rsidR="000217CC" w:rsidRPr="00DF3B7C" w:rsidRDefault="000217CC" w:rsidP="00DF3B7C">
      <w:pPr>
        <w:spacing w:after="0" w:line="480" w:lineRule="auto"/>
        <w:jc w:val="center"/>
        <w:rPr>
          <w:rFonts w:cs="Times New Roman"/>
          <w:b/>
          <w:szCs w:val="24"/>
        </w:rPr>
      </w:pPr>
    </w:p>
    <w:p w14:paraId="6DA10AE0" w14:textId="77777777" w:rsidR="000217CC" w:rsidRPr="00DF3B7C" w:rsidRDefault="000217CC" w:rsidP="00DF3B7C">
      <w:pPr>
        <w:spacing w:after="0" w:line="480" w:lineRule="auto"/>
        <w:jc w:val="center"/>
        <w:rPr>
          <w:rFonts w:cs="Times New Roman"/>
          <w:b/>
          <w:szCs w:val="24"/>
        </w:rPr>
      </w:pPr>
    </w:p>
    <w:p w14:paraId="562B1D9F" w14:textId="77777777" w:rsidR="000217CC" w:rsidRPr="00DF3B7C" w:rsidRDefault="000217CC" w:rsidP="00DF3B7C">
      <w:pPr>
        <w:spacing w:after="0" w:line="480" w:lineRule="auto"/>
        <w:jc w:val="center"/>
        <w:rPr>
          <w:rFonts w:cs="Times New Roman"/>
          <w:b/>
          <w:szCs w:val="24"/>
        </w:rPr>
      </w:pPr>
    </w:p>
    <w:p w14:paraId="4F1C4C7B" w14:textId="77777777" w:rsidR="000217CC" w:rsidRPr="00DF3B7C" w:rsidRDefault="000217CC" w:rsidP="00DF3B7C">
      <w:pPr>
        <w:spacing w:after="0" w:line="480" w:lineRule="auto"/>
        <w:jc w:val="center"/>
        <w:rPr>
          <w:rFonts w:cs="Times New Roman"/>
          <w:b/>
          <w:szCs w:val="24"/>
        </w:rPr>
      </w:pPr>
      <w:r w:rsidRPr="00DF3B7C">
        <w:rPr>
          <w:rFonts w:cs="Times New Roman"/>
          <w:b/>
          <w:szCs w:val="24"/>
        </w:rPr>
        <w:t>Strategic Management Portfolio Report</w:t>
      </w:r>
    </w:p>
    <w:p w14:paraId="0BAEDDDC" w14:textId="77777777" w:rsidR="000217CC" w:rsidRPr="00DF3B7C" w:rsidRDefault="000217CC" w:rsidP="00DF3B7C">
      <w:pPr>
        <w:spacing w:after="0" w:line="480" w:lineRule="auto"/>
        <w:jc w:val="center"/>
        <w:rPr>
          <w:rFonts w:eastAsia="Times New Roman" w:cs="Times New Roman"/>
          <w:b/>
          <w:szCs w:val="24"/>
        </w:rPr>
      </w:pPr>
    </w:p>
    <w:p w14:paraId="4E81E5DC" w14:textId="77777777" w:rsidR="000217CC" w:rsidRPr="00DF3B7C" w:rsidRDefault="000217CC" w:rsidP="00DF3B7C">
      <w:pPr>
        <w:spacing w:after="0" w:line="480" w:lineRule="auto"/>
        <w:jc w:val="center"/>
        <w:rPr>
          <w:rFonts w:cs="Times New Roman"/>
          <w:b/>
          <w:bCs/>
          <w:szCs w:val="24"/>
        </w:rPr>
      </w:pPr>
      <w:r w:rsidRPr="00DF3B7C">
        <w:rPr>
          <w:rFonts w:cs="Times New Roman"/>
          <w:color w:val="000000"/>
          <w:szCs w:val="24"/>
        </w:rPr>
        <w:t>Author Name</w:t>
      </w:r>
    </w:p>
    <w:p w14:paraId="685C17D0" w14:textId="77777777" w:rsidR="000217CC" w:rsidRPr="00DF3B7C" w:rsidRDefault="000217CC" w:rsidP="00DF3B7C">
      <w:pPr>
        <w:spacing w:after="0" w:line="480" w:lineRule="auto"/>
        <w:contextualSpacing/>
        <w:jc w:val="center"/>
        <w:rPr>
          <w:rFonts w:cs="Times New Roman"/>
          <w:color w:val="000000"/>
          <w:szCs w:val="24"/>
        </w:rPr>
      </w:pPr>
      <w:r w:rsidRPr="00DF3B7C">
        <w:rPr>
          <w:rFonts w:cs="Times New Roman"/>
          <w:color w:val="000000"/>
          <w:szCs w:val="24"/>
        </w:rPr>
        <w:t>Institution Name</w:t>
      </w:r>
    </w:p>
    <w:p w14:paraId="300A802C" w14:textId="77777777" w:rsidR="000217CC" w:rsidRPr="00DF3B7C" w:rsidRDefault="000217CC" w:rsidP="00DF3B7C">
      <w:pPr>
        <w:spacing w:after="0" w:line="480" w:lineRule="auto"/>
        <w:contextualSpacing/>
        <w:jc w:val="center"/>
        <w:rPr>
          <w:rFonts w:cs="Times New Roman"/>
          <w:szCs w:val="24"/>
        </w:rPr>
      </w:pPr>
      <w:r w:rsidRPr="00DF3B7C">
        <w:rPr>
          <w:rFonts w:cs="Times New Roman"/>
          <w:szCs w:val="24"/>
        </w:rPr>
        <w:t>Course Name</w:t>
      </w:r>
    </w:p>
    <w:p w14:paraId="1DE3EA42" w14:textId="77777777" w:rsidR="000217CC" w:rsidRPr="00DF3B7C" w:rsidRDefault="000217CC" w:rsidP="00DF3B7C">
      <w:pPr>
        <w:spacing w:after="0" w:line="480" w:lineRule="auto"/>
        <w:contextualSpacing/>
        <w:jc w:val="center"/>
        <w:rPr>
          <w:rFonts w:cs="Times New Roman"/>
          <w:szCs w:val="24"/>
        </w:rPr>
      </w:pPr>
      <w:r w:rsidRPr="00DF3B7C">
        <w:rPr>
          <w:rFonts w:cs="Times New Roman"/>
          <w:szCs w:val="24"/>
        </w:rPr>
        <w:t>Instructor Name</w:t>
      </w:r>
    </w:p>
    <w:p w14:paraId="4B9EAA63" w14:textId="77777777" w:rsidR="000217CC" w:rsidRPr="00DF3B7C" w:rsidRDefault="000217CC" w:rsidP="00DF3B7C">
      <w:pPr>
        <w:pStyle w:val="NormalWeb"/>
        <w:spacing w:before="0" w:beforeAutospacing="0" w:after="0" w:afterAutospacing="0" w:line="480" w:lineRule="auto"/>
        <w:jc w:val="center"/>
      </w:pPr>
      <w:r w:rsidRPr="00DF3B7C">
        <w:t>Date</w:t>
      </w:r>
    </w:p>
    <w:p w14:paraId="20FB6B96" w14:textId="77777777" w:rsidR="000217CC" w:rsidRPr="00DF3B7C" w:rsidRDefault="000217CC" w:rsidP="00DF3B7C">
      <w:pPr>
        <w:spacing w:after="0" w:line="480" w:lineRule="auto"/>
        <w:ind w:firstLine="720"/>
        <w:rPr>
          <w:rFonts w:cs="Times New Roman"/>
          <w:szCs w:val="24"/>
        </w:rPr>
      </w:pPr>
      <w:r w:rsidRPr="00DF3B7C">
        <w:rPr>
          <w:rFonts w:cs="Times New Roman"/>
          <w:szCs w:val="24"/>
        </w:rPr>
        <w:br w:type="page"/>
      </w:r>
    </w:p>
    <w:p w14:paraId="685B283D" w14:textId="77777777" w:rsidR="00705124" w:rsidRPr="00705124" w:rsidRDefault="000217CC" w:rsidP="00DF3B7C">
      <w:pPr>
        <w:spacing w:after="0" w:line="480" w:lineRule="auto"/>
        <w:jc w:val="center"/>
        <w:outlineLvl w:val="2"/>
        <w:rPr>
          <w:rFonts w:eastAsia="Times New Roman" w:cs="Times New Roman"/>
          <w:b/>
          <w:bCs/>
          <w:szCs w:val="24"/>
        </w:rPr>
      </w:pPr>
      <w:r w:rsidRPr="00DF3B7C">
        <w:rPr>
          <w:rFonts w:eastAsia="Times New Roman" w:cs="Times New Roman"/>
          <w:b/>
          <w:bCs/>
          <w:szCs w:val="24"/>
        </w:rPr>
        <w:lastRenderedPageBreak/>
        <w:t>Executive Summary</w:t>
      </w:r>
    </w:p>
    <w:p w14:paraId="03004641" w14:textId="2D1CAA45" w:rsidR="000217CC" w:rsidRPr="00DF3B7C" w:rsidRDefault="008C20F3" w:rsidP="00DF3B7C">
      <w:pPr>
        <w:spacing w:after="0" w:line="480" w:lineRule="auto"/>
        <w:rPr>
          <w:rFonts w:eastAsia="Times New Roman" w:cs="Times New Roman"/>
          <w:b/>
          <w:bCs/>
          <w:szCs w:val="24"/>
        </w:rPr>
      </w:pPr>
      <w:r w:rsidRPr="008C20F3">
        <w:rPr>
          <w:rFonts w:eastAsia="Times New Roman" w:cs="Times New Roman"/>
          <w:szCs w:val="24"/>
        </w:rPr>
        <w:t>This report is a strategic analysis of the Customers and Products segment of the BP plc company that is the main revenue generating unit of the company that encompasses fuels, refining, lubricants and convenience retail. The analysis determines that the segment is experiencing fast structural transition, as opposed to gradual change, through the use of industry developments that have taken place in the industry and recent company performance indicators. Although the conventional fuel business processes still create positive cash flows, recent market trends confirm the decreasing demand in the long-term due to electrification, tightening of regulation and changing consumer behavior. Meanwhile, BP Pulse (EV charging) and convenience retail have shown quantifiable growth, which is still at an early-stage but expanding diversification. Portfolio analysis shows that BP is still too reliant on its previous cash-generating efforts, but the growth segments are not yet large enough to counter structural decline. Moreover, inconsistency in strategies after the transition of leadership has slowed down the achievement of transformation objectives. The report notes that BP needs to hasten capital reallocation towards scalable low-carbon and customer-centric businesses, and actively manage the depletion of fossil fuel resources. The ability to be competitive in the long run will require bold implementation as opposed to gradual adjustment.</w:t>
      </w:r>
      <w:r w:rsidR="000217CC" w:rsidRPr="00DF3B7C">
        <w:rPr>
          <w:rFonts w:eastAsia="Times New Roman" w:cs="Times New Roman"/>
          <w:b/>
          <w:bCs/>
          <w:szCs w:val="24"/>
        </w:rPr>
        <w:br w:type="page"/>
      </w:r>
    </w:p>
    <w:p w14:paraId="3C93E77B" w14:textId="77777777" w:rsidR="000217CC" w:rsidRPr="00DF3B7C" w:rsidRDefault="000217CC" w:rsidP="00DF3B7C">
      <w:pPr>
        <w:spacing w:after="0" w:line="480" w:lineRule="auto"/>
        <w:jc w:val="center"/>
        <w:rPr>
          <w:rFonts w:cs="Times New Roman"/>
          <w:b/>
          <w:szCs w:val="24"/>
        </w:rPr>
      </w:pPr>
      <w:r w:rsidRPr="00DF3B7C">
        <w:rPr>
          <w:rFonts w:cs="Times New Roman"/>
          <w:b/>
          <w:szCs w:val="24"/>
        </w:rPr>
        <w:lastRenderedPageBreak/>
        <w:t>Strategic Management Portfolio Report</w:t>
      </w:r>
    </w:p>
    <w:p w14:paraId="359A1BB1" w14:textId="0B473C70" w:rsidR="000D1E37" w:rsidRDefault="008C20F3" w:rsidP="00DF3B7C">
      <w:pPr>
        <w:spacing w:after="0" w:line="480" w:lineRule="auto"/>
        <w:ind w:firstLine="720"/>
        <w:rPr>
          <w:rFonts w:eastAsia="Times New Roman" w:cs="Times New Roman"/>
          <w:szCs w:val="24"/>
        </w:rPr>
      </w:pPr>
      <w:r w:rsidRPr="008C20F3">
        <w:rPr>
          <w:rFonts w:eastAsia="Times New Roman" w:cs="Times New Roman"/>
          <w:szCs w:val="24"/>
        </w:rPr>
        <w:t>BP plc is still one of the largest integrated energy companies in the world, as it continues to expand into energy solutions that are low-carbon. By 2025, BP is still repositioning itself to cease being a traditional International Oil Company and become an Integrated Energy Company as the pressure to decarbonize and transition to energy sources other than oil intensifies. The recent industry statistics prove that the energy transition is not in the future anymore but a market shift is taking place. The electrification, enforcement of regulations, and technological changes already transform demand trends, especially in downstream activities. The Customers and Products segment is the heart of this transformation as it has direct contact with customers and a global network of retail stores. But this poses a structural contradiction: the very infrastructure that is bringing in the current revenues is also becoming more and more vulnerable to long-term losses. Though BP has already made strategic investments in EV charging, digital platforms, and convenience retail, the current performance is an indicator that the transformation is going at a slower pace than the market evolution. The report critically analyzes the extent to which the BP strategy is now more in tune with the realities of the industry today and less as to what was predicted in the past.</w:t>
      </w:r>
    </w:p>
    <w:p w14:paraId="4EFEE73C" w14:textId="6F1EB1D0" w:rsidR="00705124" w:rsidRPr="00705124" w:rsidRDefault="000D1E37" w:rsidP="00DF3B7C">
      <w:pPr>
        <w:spacing w:after="0" w:line="480" w:lineRule="auto"/>
        <w:outlineLvl w:val="2"/>
        <w:rPr>
          <w:rFonts w:eastAsia="Times New Roman" w:cs="Times New Roman"/>
          <w:b/>
          <w:bCs/>
          <w:i/>
          <w:szCs w:val="24"/>
        </w:rPr>
      </w:pPr>
      <w:r w:rsidRPr="00DF3B7C">
        <w:rPr>
          <w:rFonts w:eastAsia="Times New Roman" w:cs="Times New Roman"/>
          <w:b/>
          <w:bCs/>
          <w:i/>
          <w:szCs w:val="24"/>
        </w:rPr>
        <w:t xml:space="preserve">Strategic Position Summary: </w:t>
      </w:r>
      <w:r w:rsidR="00D36371">
        <w:rPr>
          <w:rFonts w:eastAsia="Times New Roman" w:cs="Times New Roman"/>
          <w:b/>
          <w:bCs/>
          <w:i/>
          <w:szCs w:val="24"/>
        </w:rPr>
        <w:t>TOWS</w:t>
      </w:r>
      <w:r w:rsidRPr="00DF3B7C">
        <w:rPr>
          <w:rFonts w:eastAsia="Times New Roman" w:cs="Times New Roman"/>
          <w:b/>
          <w:bCs/>
          <w:i/>
          <w:szCs w:val="24"/>
        </w:rPr>
        <w:t xml:space="preserve"> Analysis</w:t>
      </w:r>
    </w:p>
    <w:p w14:paraId="6C67255A" w14:textId="77777777" w:rsidR="008C20F3" w:rsidRPr="008C20F3" w:rsidRDefault="008C20F3" w:rsidP="008C20F3">
      <w:pPr>
        <w:spacing w:after="0" w:line="480" w:lineRule="auto"/>
        <w:ind w:firstLine="720"/>
        <w:rPr>
          <w:rFonts w:eastAsia="Times New Roman" w:cs="Times New Roman"/>
          <w:szCs w:val="24"/>
        </w:rPr>
      </w:pPr>
      <w:r w:rsidRPr="008C20F3">
        <w:rPr>
          <w:rFonts w:eastAsia="Times New Roman" w:cs="Times New Roman"/>
          <w:szCs w:val="24"/>
        </w:rPr>
        <w:t>The TOWS model brings to the fore the increasing discrepancy between the current capacity of BP and the rapidly increasing rate of change in the industry. Recent events suggest that the switch to low-carbon energy is not a speculation but already taking place.</w:t>
      </w:r>
    </w:p>
    <w:p w14:paraId="4C10ED26" w14:textId="77777777" w:rsidR="008C20F3" w:rsidRPr="008C20F3" w:rsidRDefault="008C20F3" w:rsidP="008C20F3">
      <w:pPr>
        <w:spacing w:after="0" w:line="480" w:lineRule="auto"/>
        <w:ind w:firstLine="720"/>
        <w:rPr>
          <w:rFonts w:eastAsia="Times New Roman" w:cs="Times New Roman"/>
          <w:szCs w:val="24"/>
        </w:rPr>
      </w:pPr>
      <w:r w:rsidRPr="008C20F3">
        <w:rPr>
          <w:rFonts w:eastAsia="Times New Roman" w:cs="Times New Roman"/>
          <w:szCs w:val="24"/>
        </w:rPr>
        <w:t xml:space="preserve">The two facets of the rapid growth of electric vehicle (EV) uptake and the development of fuel retail into integrated energy </w:t>
      </w:r>
      <w:proofErr w:type="spellStart"/>
      <w:r w:rsidRPr="008C20F3">
        <w:rPr>
          <w:rFonts w:eastAsia="Times New Roman" w:cs="Times New Roman"/>
          <w:szCs w:val="24"/>
        </w:rPr>
        <w:t>centres</w:t>
      </w:r>
      <w:proofErr w:type="spellEnd"/>
      <w:r w:rsidRPr="008C20F3">
        <w:rPr>
          <w:rFonts w:eastAsia="Times New Roman" w:cs="Times New Roman"/>
          <w:szCs w:val="24"/>
        </w:rPr>
        <w:t xml:space="preserve"> are driving opportunities. The world EV market has been further accelerating creating the need to charge infrastructure and position the BP retail </w:t>
      </w:r>
      <w:r w:rsidRPr="008C20F3">
        <w:rPr>
          <w:rFonts w:eastAsia="Times New Roman" w:cs="Times New Roman"/>
          <w:szCs w:val="24"/>
        </w:rPr>
        <w:lastRenderedPageBreak/>
        <w:t xml:space="preserve">network as a strategic asset to convert into multi-energy service stations (International Energy Agency [IEA], 2024). Also, convenience retail has been shown to have a higher margin potential, with digital platforms like </w:t>
      </w:r>
      <w:proofErr w:type="spellStart"/>
      <w:r w:rsidRPr="008C20F3">
        <w:rPr>
          <w:rFonts w:eastAsia="Times New Roman" w:cs="Times New Roman"/>
          <w:szCs w:val="24"/>
        </w:rPr>
        <w:t>BPme</w:t>
      </w:r>
      <w:proofErr w:type="spellEnd"/>
      <w:r w:rsidRPr="008C20F3">
        <w:rPr>
          <w:rFonts w:eastAsia="Times New Roman" w:cs="Times New Roman"/>
          <w:szCs w:val="24"/>
        </w:rPr>
        <w:t xml:space="preserve"> increasing customer engagement and data-based services (BP, 2025).</w:t>
      </w:r>
    </w:p>
    <w:p w14:paraId="4066A398" w14:textId="77777777" w:rsidR="008C20F3" w:rsidRPr="008C20F3" w:rsidRDefault="008C20F3" w:rsidP="008C20F3">
      <w:pPr>
        <w:spacing w:after="0" w:line="480" w:lineRule="auto"/>
        <w:ind w:firstLine="720"/>
        <w:rPr>
          <w:rFonts w:eastAsia="Times New Roman" w:cs="Times New Roman"/>
          <w:szCs w:val="24"/>
        </w:rPr>
      </w:pPr>
      <w:r w:rsidRPr="008C20F3">
        <w:rPr>
          <w:rFonts w:eastAsia="Times New Roman" w:cs="Times New Roman"/>
          <w:szCs w:val="24"/>
        </w:rPr>
        <w:t>Nevertheless, threats are increasingly getting immediate and structurally important. The oil demand in major markets has started to level off, with the first signs of decline being electrification and efficiency gains (IEA, 2024). Meanwhile, increased environmental standards and the prohibition of internal combustion engine-powered vehicles is hastening this change. The presence of EV-oriented companies and independent charging networks further puts the pressure on the traditional business model of BP (Reuters, 2024).</w:t>
      </w:r>
    </w:p>
    <w:p w14:paraId="3C9EE16D" w14:textId="77777777" w:rsidR="008C20F3" w:rsidRPr="008C20F3" w:rsidRDefault="008C20F3" w:rsidP="008C20F3">
      <w:pPr>
        <w:spacing w:after="0" w:line="480" w:lineRule="auto"/>
        <w:ind w:firstLine="720"/>
        <w:rPr>
          <w:rFonts w:eastAsia="Times New Roman" w:cs="Times New Roman"/>
          <w:szCs w:val="24"/>
        </w:rPr>
      </w:pPr>
      <w:r w:rsidRPr="008C20F3">
        <w:rPr>
          <w:rFonts w:eastAsia="Times New Roman" w:cs="Times New Roman"/>
          <w:szCs w:val="24"/>
        </w:rPr>
        <w:t>Domestically, BP still possesses some important capabilities, such as a global retail network, a good brand portfolio (including Castrol), and vertically integrated operations that enable it to generate cash flows (BP, 2025). However, the critical weaknesses, especially the fact that the company still depends on revenues on fossil fuels, high carbon exposure, and organizational inertia that slow down strategic adaptation, balance out these strengths (BP, 2025; Deloitte, 2023).</w:t>
      </w:r>
    </w:p>
    <w:p w14:paraId="563C6E48" w14:textId="363AD8F5" w:rsidR="00FB5144" w:rsidRPr="00DF3B7C" w:rsidRDefault="008C20F3" w:rsidP="008C20F3">
      <w:pPr>
        <w:spacing w:after="0" w:line="480" w:lineRule="auto"/>
        <w:ind w:firstLine="720"/>
        <w:rPr>
          <w:rFonts w:eastAsia="Times New Roman" w:cs="Times New Roman"/>
          <w:szCs w:val="24"/>
        </w:rPr>
      </w:pPr>
      <w:r w:rsidRPr="008C20F3">
        <w:rPr>
          <w:rFonts w:eastAsia="Times New Roman" w:cs="Times New Roman"/>
          <w:szCs w:val="24"/>
        </w:rPr>
        <w:t>BP needs to strategically leverage its infrastructure to scale EV charging (SO strategy), accelerate diversification into retail and digital services (WO strategy), use financial strength to compete with emerging entrants (ST strategy), and divest underperforming, carbon-intensive assets to enhance long-term positioning (WT strategy).</w:t>
      </w:r>
    </w:p>
    <w:p w14:paraId="675FAAC7" w14:textId="77777777" w:rsidR="00DF3B7C" w:rsidRPr="00FB5144" w:rsidRDefault="00DF3B7C" w:rsidP="00DF3B7C">
      <w:pPr>
        <w:spacing w:after="0" w:line="480" w:lineRule="auto"/>
        <w:ind w:firstLine="720"/>
        <w:rPr>
          <w:rFonts w:eastAsia="Times New Roman" w:cs="Times New Roman"/>
          <w:b/>
          <w:szCs w:val="24"/>
        </w:rPr>
      </w:pPr>
    </w:p>
    <w:p w14:paraId="5C278057" w14:textId="77777777" w:rsidR="00FB5144" w:rsidRPr="00DF3B7C" w:rsidRDefault="00DF3B7C" w:rsidP="00DF3B7C">
      <w:pPr>
        <w:spacing w:after="0" w:line="480" w:lineRule="auto"/>
        <w:rPr>
          <w:rFonts w:cs="Times New Roman"/>
          <w:b/>
          <w:i/>
          <w:szCs w:val="24"/>
        </w:rPr>
      </w:pPr>
      <w:r w:rsidRPr="00DF3B7C">
        <w:rPr>
          <w:rStyle w:val="Strong"/>
          <w:rFonts w:cs="Times New Roman"/>
          <w:bCs w:val="0"/>
          <w:i/>
          <w:szCs w:val="24"/>
        </w:rPr>
        <w:t>Business Portfolio Analysis: BCG Matrix</w:t>
      </w:r>
    </w:p>
    <w:p w14:paraId="363668F3" w14:textId="77777777" w:rsidR="008C20F3" w:rsidRPr="008C20F3" w:rsidRDefault="008C20F3" w:rsidP="008C20F3">
      <w:pPr>
        <w:spacing w:after="0" w:line="480" w:lineRule="auto"/>
        <w:ind w:firstLine="720"/>
        <w:rPr>
          <w:rFonts w:eastAsia="Times New Roman" w:cs="Times New Roman"/>
          <w:szCs w:val="24"/>
        </w:rPr>
      </w:pPr>
      <w:r w:rsidRPr="008C20F3">
        <w:rPr>
          <w:rFonts w:eastAsia="Times New Roman" w:cs="Times New Roman"/>
          <w:szCs w:val="24"/>
        </w:rPr>
        <w:lastRenderedPageBreak/>
        <w:t>According to the analysis of the current BP position using the BCG Matrix approach, the portfolio of the Customers and Products of BP is transitional and structurally unbalanced, as the existing businesses are still funding the new areas of growth.</w:t>
      </w:r>
    </w:p>
    <w:p w14:paraId="6065127C" w14:textId="77777777" w:rsidR="008C20F3" w:rsidRPr="008C20F3" w:rsidRDefault="008C20F3" w:rsidP="008C20F3">
      <w:pPr>
        <w:spacing w:after="0" w:line="480" w:lineRule="auto"/>
        <w:ind w:firstLine="720"/>
        <w:rPr>
          <w:rFonts w:eastAsia="Times New Roman" w:cs="Times New Roman"/>
          <w:szCs w:val="24"/>
        </w:rPr>
      </w:pPr>
      <w:r w:rsidRPr="008C20F3">
        <w:rPr>
          <w:rFonts w:eastAsia="Times New Roman" w:cs="Times New Roman"/>
          <w:szCs w:val="24"/>
        </w:rPr>
        <w:t>The main areas of growth and can be termed as stars are BP Pulse and convenience retail. The growth of the EV charging infrastructure is an indicator of a robust market growth but profitability is limited because of the high capital requirements to establish the infrastructure and because of the requirements of continuous scaling (IEA, 2024; BP, 2025). Likewise, convenience retail is still growing in terms of margins and revenue streams, especially by way of strategic alliances.</w:t>
      </w:r>
    </w:p>
    <w:p w14:paraId="20830194" w14:textId="77777777" w:rsidR="008C20F3" w:rsidRPr="008C20F3" w:rsidRDefault="008C20F3" w:rsidP="008C20F3">
      <w:pPr>
        <w:spacing w:after="0" w:line="480" w:lineRule="auto"/>
        <w:ind w:firstLine="720"/>
        <w:rPr>
          <w:rFonts w:eastAsia="Times New Roman" w:cs="Times New Roman"/>
          <w:szCs w:val="24"/>
        </w:rPr>
      </w:pPr>
      <w:r w:rsidRPr="008C20F3">
        <w:rPr>
          <w:rFonts w:eastAsia="Times New Roman" w:cs="Times New Roman"/>
          <w:szCs w:val="24"/>
        </w:rPr>
        <w:t>Traditional fuel retail and Castrol lubricants can be treated as a cash cow, which can have significant and stable cash flows to support other strategic requirements (BP, 2025). Nonetheless, these segments are confronted with validated long-term loss of demand owing to structural changes in the pattern of energy consumption, which limits their future strategic value.</w:t>
      </w:r>
    </w:p>
    <w:p w14:paraId="5CE05F22" w14:textId="77777777" w:rsidR="008C20F3" w:rsidRPr="008C20F3" w:rsidRDefault="008C20F3" w:rsidP="008C20F3">
      <w:pPr>
        <w:spacing w:after="0" w:line="480" w:lineRule="auto"/>
        <w:ind w:firstLine="720"/>
        <w:rPr>
          <w:rFonts w:eastAsia="Times New Roman" w:cs="Times New Roman"/>
          <w:szCs w:val="24"/>
        </w:rPr>
      </w:pPr>
      <w:r w:rsidRPr="008C20F3">
        <w:rPr>
          <w:rFonts w:eastAsia="Times New Roman" w:cs="Times New Roman"/>
          <w:szCs w:val="24"/>
        </w:rPr>
        <w:t>New segments like hydrogen and biofuels are termed as a question mark. Although these markets demonstrate growth opportunities, BP has not yet managed to secure a strong competitive position, and its investment strategy is still quite timid and disjointed (Deloitte, 2023).</w:t>
      </w:r>
    </w:p>
    <w:p w14:paraId="26AE896C" w14:textId="77777777" w:rsidR="008C20F3" w:rsidRPr="008C20F3" w:rsidRDefault="008C20F3" w:rsidP="008C20F3">
      <w:pPr>
        <w:spacing w:after="0" w:line="480" w:lineRule="auto"/>
        <w:ind w:firstLine="720"/>
        <w:rPr>
          <w:rFonts w:eastAsia="Times New Roman" w:cs="Times New Roman"/>
          <w:szCs w:val="24"/>
        </w:rPr>
      </w:pPr>
      <w:r w:rsidRPr="008C20F3">
        <w:rPr>
          <w:rFonts w:eastAsia="Times New Roman" w:cs="Times New Roman"/>
          <w:szCs w:val="24"/>
        </w:rPr>
        <w:t>Dog segments consist of underperforming refining assets, and low-efficiency retail locations, which are still diluting overall returns. Even though BP has embarked on divestment measures, the rate of exit has not been in full line with the market decline rate (BP, 2025).</w:t>
      </w:r>
    </w:p>
    <w:p w14:paraId="09C15520" w14:textId="10DAC78F" w:rsidR="00705124" w:rsidRPr="00705124" w:rsidRDefault="008C20F3" w:rsidP="008C20F3">
      <w:pPr>
        <w:spacing w:after="0" w:line="480" w:lineRule="auto"/>
        <w:ind w:firstLine="720"/>
        <w:rPr>
          <w:rFonts w:eastAsia="Times New Roman" w:cs="Times New Roman"/>
          <w:szCs w:val="24"/>
        </w:rPr>
      </w:pPr>
      <w:r w:rsidRPr="008C20F3">
        <w:rPr>
          <w:rFonts w:eastAsia="Times New Roman" w:cs="Times New Roman"/>
          <w:szCs w:val="24"/>
        </w:rPr>
        <w:t>On the whole, the analysis shows that BP has a proper strategic direction, but the execution thereof is not decisive enough. Growth segments are not currently at scale to counter the fall of legacy businesses, leaving a growing strategic gap.</w:t>
      </w:r>
    </w:p>
    <w:p w14:paraId="58EB64E5" w14:textId="77777777" w:rsidR="009177B4" w:rsidRPr="009177B4" w:rsidRDefault="00DF3B7C" w:rsidP="00DF3B7C">
      <w:pPr>
        <w:spacing w:after="0" w:line="480" w:lineRule="auto"/>
        <w:outlineLvl w:val="2"/>
        <w:rPr>
          <w:rFonts w:eastAsia="Times New Roman" w:cs="Times New Roman"/>
          <w:b/>
          <w:bCs/>
          <w:i/>
          <w:szCs w:val="24"/>
        </w:rPr>
      </w:pPr>
      <w:r w:rsidRPr="00DF3B7C">
        <w:rPr>
          <w:rFonts w:eastAsia="Times New Roman" w:cs="Times New Roman"/>
          <w:b/>
          <w:bCs/>
          <w:i/>
          <w:szCs w:val="24"/>
        </w:rPr>
        <w:lastRenderedPageBreak/>
        <w:t>Sustainability and Environmental Approach</w:t>
      </w:r>
    </w:p>
    <w:p w14:paraId="598A8ED7" w14:textId="34266BD4" w:rsidR="00DF3B7C" w:rsidRPr="00DF3B7C" w:rsidRDefault="00D73D20" w:rsidP="00DF3B7C">
      <w:pPr>
        <w:spacing w:after="0" w:line="480" w:lineRule="auto"/>
        <w:ind w:firstLine="720"/>
        <w:rPr>
          <w:rFonts w:eastAsia="Times New Roman" w:cs="Times New Roman"/>
          <w:szCs w:val="24"/>
        </w:rPr>
      </w:pPr>
      <w:r w:rsidRPr="00D73D20">
        <w:rPr>
          <w:rFonts w:eastAsia="Times New Roman" w:cs="Times New Roman"/>
          <w:szCs w:val="24"/>
        </w:rPr>
        <w:t xml:space="preserve">The tension that can be observed in the sustainability strategy of BP is between the ability to continue to achieve short-term profitability due to its carbon-intensive operations and providing a credible transition to net zero. </w:t>
      </w:r>
    </w:p>
    <w:p w14:paraId="3396AC4B" w14:textId="77777777" w:rsidR="00DF3B7C" w:rsidRPr="00DF3B7C" w:rsidRDefault="00D73D20" w:rsidP="00DF3B7C">
      <w:pPr>
        <w:spacing w:after="0" w:line="480" w:lineRule="auto"/>
        <w:ind w:firstLine="720"/>
        <w:rPr>
          <w:rFonts w:eastAsia="Times New Roman" w:cs="Times New Roman"/>
          <w:szCs w:val="24"/>
        </w:rPr>
      </w:pPr>
      <w:r w:rsidRPr="00D73D20">
        <w:rPr>
          <w:rFonts w:eastAsia="Times New Roman" w:cs="Times New Roman"/>
          <w:szCs w:val="24"/>
        </w:rPr>
        <w:t>The targets established by the 2020 reset of BP are ambitious and aim to accomplish the goals across Scope 1, 2, and 3 emissions by 2050, which positions it as a leader in the integrated oil companies (BP, 2020). Nonetheless, there is still uneven progress. By 2024, operational emissions have decreased by approximately 20 percent, which is well below the 50 percent target by 2030, and renewable capacity has reached only 6GW against a 50GW goal (BP, 2024). More importantly, the Scope 3 emissions due to customer fuel consumption make up about 90% of the overall map of BP, but are also largely unaddressed beyond limited fuel blending (BP, 2024). This implies the existence of a structural disconnect between ambition and execution because the fundamental revenue model still re</w:t>
      </w:r>
      <w:r w:rsidR="00DF3B7C" w:rsidRPr="00DF3B7C">
        <w:rPr>
          <w:rFonts w:eastAsia="Times New Roman" w:cs="Times New Roman"/>
          <w:szCs w:val="24"/>
        </w:rPr>
        <w:t>lies on high-emission products.</w:t>
      </w:r>
    </w:p>
    <w:p w14:paraId="365C7916" w14:textId="77777777" w:rsidR="00DF3B7C" w:rsidRPr="00DF3B7C" w:rsidRDefault="00D73D20" w:rsidP="00DF3B7C">
      <w:pPr>
        <w:spacing w:after="0" w:line="480" w:lineRule="auto"/>
        <w:ind w:firstLine="720"/>
        <w:rPr>
          <w:rFonts w:eastAsia="Times New Roman" w:cs="Times New Roman"/>
          <w:szCs w:val="24"/>
        </w:rPr>
      </w:pPr>
      <w:r w:rsidRPr="00D73D20">
        <w:rPr>
          <w:rFonts w:eastAsia="Times New Roman" w:cs="Times New Roman"/>
          <w:szCs w:val="24"/>
        </w:rPr>
        <w:t>The strategy of BP is more similar to the Creating Shared Value (CSV) strategy, which involves embedding sustainability in a commercial activity as opposed to regarding it as a distinct responsibility (Porter and Kramer, 2011). Some of the initiatives like the BP Pulse, have demonstrated this strategy by connecting growth with reducing emissions. However, this narrative is weakened by strategic inconsistencies. Recalibration under CEO Auchincloss in 2023 lowered renewable targets and increased oil production in the short term, which was widely criticized by investors and environmental groups (Financial Times, 2024). These determinations affirm the notions that financial concerns continue to prevail as part of transition objectives.</w:t>
      </w:r>
    </w:p>
    <w:p w14:paraId="149E118B" w14:textId="7E9898BF" w:rsidR="00D73D20" w:rsidRPr="00D73D20" w:rsidRDefault="00D73D20" w:rsidP="00DF3B7C">
      <w:pPr>
        <w:spacing w:after="0" w:line="480" w:lineRule="auto"/>
        <w:ind w:firstLine="720"/>
        <w:rPr>
          <w:rFonts w:eastAsia="Times New Roman" w:cs="Times New Roman"/>
          <w:szCs w:val="24"/>
        </w:rPr>
      </w:pPr>
      <w:r w:rsidRPr="00D73D20">
        <w:rPr>
          <w:rFonts w:eastAsia="Times New Roman" w:cs="Times New Roman"/>
          <w:szCs w:val="24"/>
        </w:rPr>
        <w:t xml:space="preserve">In general, the sustainability strategy of BP is an inconsistent transition that is managed. Although it is a commitment that is aligned with SDG 7 and SDG 13, the continued investment </w:t>
      </w:r>
      <w:r w:rsidRPr="00D73D20">
        <w:rPr>
          <w:rFonts w:eastAsia="Times New Roman" w:cs="Times New Roman"/>
          <w:szCs w:val="24"/>
        </w:rPr>
        <w:lastRenderedPageBreak/>
        <w:t>in new oil developments makes their credibility questionable (Bloomberg, 2024</w:t>
      </w:r>
      <w:r w:rsidR="008C20F3">
        <w:rPr>
          <w:rFonts w:eastAsia="Times New Roman" w:cs="Times New Roman"/>
          <w:szCs w:val="24"/>
        </w:rPr>
        <w:t>) C</w:t>
      </w:r>
      <w:r w:rsidRPr="00D73D20">
        <w:rPr>
          <w:rFonts w:eastAsia="Times New Roman" w:cs="Times New Roman"/>
          <w:szCs w:val="24"/>
        </w:rPr>
        <w:t>onsequently, the existing rate of change is a threat to strengthening the stakeholder anxieties about greenwashing instead of fostering long-term trust.</w:t>
      </w:r>
    </w:p>
    <w:p w14:paraId="0F13BF17" w14:textId="77777777" w:rsidR="009177B4" w:rsidRPr="009177B4" w:rsidRDefault="00DF3B7C" w:rsidP="00DF3B7C">
      <w:pPr>
        <w:spacing w:after="0" w:line="480" w:lineRule="auto"/>
        <w:rPr>
          <w:rFonts w:eastAsia="Times New Roman" w:cs="Times New Roman"/>
          <w:b/>
          <w:i/>
          <w:szCs w:val="24"/>
        </w:rPr>
      </w:pPr>
      <w:r w:rsidRPr="00DF3B7C">
        <w:rPr>
          <w:rFonts w:eastAsia="Times New Roman" w:cs="Times New Roman"/>
          <w:b/>
          <w:bCs/>
          <w:i/>
          <w:szCs w:val="24"/>
        </w:rPr>
        <w:t>Innovation and Entrepreneurialism</w:t>
      </w:r>
    </w:p>
    <w:p w14:paraId="039694AD" w14:textId="77777777" w:rsidR="00DF3B7C" w:rsidRPr="00DF3B7C" w:rsidRDefault="00D73D20" w:rsidP="00DF3B7C">
      <w:pPr>
        <w:spacing w:after="0" w:line="480" w:lineRule="auto"/>
        <w:ind w:firstLine="720"/>
        <w:rPr>
          <w:rFonts w:eastAsia="Times New Roman" w:cs="Times New Roman"/>
          <w:szCs w:val="24"/>
        </w:rPr>
      </w:pPr>
      <w:r w:rsidRPr="00D73D20">
        <w:rPr>
          <w:rFonts w:eastAsia="Times New Roman" w:cs="Times New Roman"/>
          <w:szCs w:val="24"/>
        </w:rPr>
        <w:t>The Customers and Products segment of BP exhibits credible products, business models, and online engagement innovation, but its rate is slower than that of pure-play technology entrants, and it therefore limits its ability to influence emerging energy markets (Deloitte, 2023). This implies that innovation is present, but it has not yet been disruptive enough to be ab</w:t>
      </w:r>
      <w:r w:rsidR="00DF3B7C" w:rsidRPr="00DF3B7C">
        <w:rPr>
          <w:rFonts w:eastAsia="Times New Roman" w:cs="Times New Roman"/>
          <w:szCs w:val="24"/>
        </w:rPr>
        <w:t>le to gain a long-term benefit.</w:t>
      </w:r>
    </w:p>
    <w:p w14:paraId="42D2509E" w14:textId="77777777" w:rsidR="00DF3B7C" w:rsidRPr="00DF3B7C" w:rsidRDefault="00D73D20" w:rsidP="00DF3B7C">
      <w:pPr>
        <w:spacing w:after="0" w:line="480" w:lineRule="auto"/>
        <w:ind w:firstLine="720"/>
        <w:rPr>
          <w:rFonts w:eastAsia="Times New Roman" w:cs="Times New Roman"/>
          <w:szCs w:val="24"/>
        </w:rPr>
      </w:pPr>
      <w:r w:rsidRPr="00D73D20">
        <w:rPr>
          <w:rFonts w:eastAsia="Times New Roman" w:cs="Times New Roman"/>
          <w:szCs w:val="24"/>
        </w:rPr>
        <w:t>The innovation strategy of BP is a hybrid of the technology-driven and the market-driven forces. Technology-push can be seen in the more advanced fuel formulations like BP Ultimate with ACTIVE technology, where the in-house R&amp;D allows the company to differentiate its products and offer premium prices (BP, 2024). Conversely, market-pull innovation is more apparent in BP Pulse, which does not seek to create demand but instead responds to the growing demand for EV charging (IEA, 2024). This move towards customer driven innovation is a strategic adjustment, but it also shows that BP is responding to, not driving, market</w:t>
      </w:r>
      <w:r w:rsidR="00DF3B7C" w:rsidRPr="00DF3B7C">
        <w:rPr>
          <w:rFonts w:eastAsia="Times New Roman" w:cs="Times New Roman"/>
          <w:szCs w:val="24"/>
        </w:rPr>
        <w:t xml:space="preserve"> change.</w:t>
      </w:r>
    </w:p>
    <w:p w14:paraId="196B97D7" w14:textId="1A684A43" w:rsidR="00DF3B7C" w:rsidRPr="00DF3B7C" w:rsidRDefault="00D73D20" w:rsidP="00DF3B7C">
      <w:pPr>
        <w:spacing w:after="0" w:line="480" w:lineRule="auto"/>
        <w:ind w:firstLine="720"/>
        <w:rPr>
          <w:rFonts w:eastAsia="Times New Roman" w:cs="Times New Roman"/>
          <w:szCs w:val="24"/>
        </w:rPr>
      </w:pPr>
      <w:r w:rsidRPr="00D73D20">
        <w:rPr>
          <w:rFonts w:eastAsia="Times New Roman" w:cs="Times New Roman"/>
          <w:szCs w:val="24"/>
        </w:rPr>
        <w:t>More fundamentally, the main innovation that BP has introduced is an architectural one: the turn of fuel stations into multi-energy centers combining fuels, EV charging, and retail</w:t>
      </w:r>
      <w:r w:rsidR="008C20F3">
        <w:rPr>
          <w:rFonts w:eastAsia="Times New Roman" w:cs="Times New Roman"/>
          <w:szCs w:val="24"/>
        </w:rPr>
        <w:t>.</w:t>
      </w:r>
      <w:r w:rsidRPr="00D73D20">
        <w:rPr>
          <w:rFonts w:eastAsia="Times New Roman" w:cs="Times New Roman"/>
          <w:szCs w:val="24"/>
        </w:rPr>
        <w:t xml:space="preserve"> This exploits the existing infrastructure with the repositioning of the customer value proposition. Nevertheless, BP Pulse itself symbolizes self-disruption, as it is gradually replacing fuel-based revenues with electricity-based models (Grant, 2022). This puts internal pressure between using the existing assets and hastening the transition, slacking decis</w:t>
      </w:r>
      <w:r w:rsidR="00DF3B7C" w:rsidRPr="00DF3B7C">
        <w:rPr>
          <w:rFonts w:eastAsia="Times New Roman" w:cs="Times New Roman"/>
          <w:szCs w:val="24"/>
        </w:rPr>
        <w:t>ion-making, and implementation.</w:t>
      </w:r>
    </w:p>
    <w:p w14:paraId="4FACCFCC" w14:textId="77777777" w:rsidR="00D73D20" w:rsidRPr="00DF3B7C" w:rsidRDefault="00D73D20" w:rsidP="00DF3B7C">
      <w:pPr>
        <w:spacing w:after="0" w:line="480" w:lineRule="auto"/>
        <w:ind w:firstLine="720"/>
        <w:rPr>
          <w:rFonts w:eastAsia="Times New Roman" w:cs="Times New Roman"/>
          <w:szCs w:val="24"/>
        </w:rPr>
      </w:pPr>
      <w:r w:rsidRPr="00D73D20">
        <w:rPr>
          <w:rFonts w:eastAsia="Times New Roman" w:cs="Times New Roman"/>
          <w:szCs w:val="24"/>
        </w:rPr>
        <w:lastRenderedPageBreak/>
        <w:t xml:space="preserve">There is more and more reliance on open innovation in the form of partnerships and ventures as the company acknowledges capability gaps in new technologies (BP, 2024). However, </w:t>
      </w:r>
      <w:proofErr w:type="spellStart"/>
      <w:r w:rsidRPr="00D73D20">
        <w:rPr>
          <w:rFonts w:eastAsia="Times New Roman" w:cs="Times New Roman"/>
          <w:szCs w:val="24"/>
        </w:rPr>
        <w:t>organisation</w:t>
      </w:r>
      <w:proofErr w:type="spellEnd"/>
      <w:r w:rsidRPr="00D73D20">
        <w:rPr>
          <w:rFonts w:eastAsia="Times New Roman" w:cs="Times New Roman"/>
          <w:szCs w:val="24"/>
        </w:rPr>
        <w:t xml:space="preserve"> culture is still a bottleneck, and the risk-aversion and short-term financial concerns are restricting entrepreneurial aspiration. Consequently, by acting as a fast follower, rather than a market leader in EV infrastructure, BP is taking a risky course in platform-based markets where scale and early positioning define long-term winners.</w:t>
      </w:r>
    </w:p>
    <w:p w14:paraId="33ACA3E5" w14:textId="77777777" w:rsidR="00DF3B7C" w:rsidRPr="00D73D20" w:rsidRDefault="00DF3B7C" w:rsidP="00DF3B7C">
      <w:pPr>
        <w:spacing w:after="0" w:line="480" w:lineRule="auto"/>
        <w:ind w:firstLine="720"/>
        <w:rPr>
          <w:rFonts w:eastAsia="Times New Roman" w:cs="Times New Roman"/>
          <w:szCs w:val="24"/>
        </w:rPr>
      </w:pPr>
    </w:p>
    <w:p w14:paraId="0118596B" w14:textId="77777777" w:rsidR="009177B4" w:rsidRPr="009177B4" w:rsidRDefault="00DF3B7C" w:rsidP="00DF3B7C">
      <w:pPr>
        <w:spacing w:after="0" w:line="480" w:lineRule="auto"/>
        <w:outlineLvl w:val="2"/>
        <w:rPr>
          <w:rFonts w:eastAsia="Times New Roman" w:cs="Times New Roman"/>
          <w:b/>
          <w:bCs/>
          <w:i/>
          <w:szCs w:val="24"/>
        </w:rPr>
      </w:pPr>
      <w:r w:rsidRPr="00DF3B7C">
        <w:rPr>
          <w:rFonts w:eastAsia="Times New Roman" w:cs="Times New Roman"/>
          <w:b/>
          <w:bCs/>
          <w:i/>
          <w:szCs w:val="24"/>
        </w:rPr>
        <w:t>Business Change and Leadership</w:t>
      </w:r>
    </w:p>
    <w:p w14:paraId="1E2B0D74" w14:textId="77777777" w:rsidR="000D1E37" w:rsidRPr="00DF3B7C" w:rsidRDefault="000D1E37" w:rsidP="00DF3B7C">
      <w:pPr>
        <w:spacing w:after="0" w:line="480" w:lineRule="auto"/>
        <w:ind w:firstLine="720"/>
        <w:rPr>
          <w:rFonts w:eastAsia="Times New Roman" w:cs="Times New Roman"/>
          <w:szCs w:val="24"/>
        </w:rPr>
      </w:pPr>
      <w:r w:rsidRPr="000D1E37">
        <w:rPr>
          <w:rFonts w:eastAsia="Times New Roman" w:cs="Times New Roman"/>
          <w:szCs w:val="24"/>
        </w:rPr>
        <w:t xml:space="preserve">The transition between 2020 and 2024 has revealed an open rift between ambition to transform and financial discipline within BP (Financial Times, 2024). The appointment of Bernard Looney in 2020 </w:t>
      </w:r>
      <w:proofErr w:type="spellStart"/>
      <w:r w:rsidRPr="000D1E37">
        <w:rPr>
          <w:rFonts w:eastAsia="Times New Roman" w:cs="Times New Roman"/>
          <w:szCs w:val="24"/>
        </w:rPr>
        <w:t>signalled</w:t>
      </w:r>
      <w:proofErr w:type="spellEnd"/>
      <w:r w:rsidRPr="000D1E37">
        <w:rPr>
          <w:rFonts w:eastAsia="Times New Roman" w:cs="Times New Roman"/>
          <w:szCs w:val="24"/>
        </w:rPr>
        <w:t xml:space="preserve"> a bold strategic change, with the promise of net zero by 2050, a 40 per cent reduction in oil production, and increased investment in renewable sources and charging EVs, building a strong ESG credibility (BP, 2020). His sudden resignation in 2023, however, left a strategic gap. Murray Auchincloss later re-normed priorities to focus on near-term returns and tempered renewable targets, enhancing financial discipline but weakening strategic articulation and inconsistent </w:t>
      </w:r>
      <w:proofErr w:type="spellStart"/>
      <w:r w:rsidRPr="000D1E37">
        <w:rPr>
          <w:rFonts w:eastAsia="Times New Roman" w:cs="Times New Roman"/>
          <w:szCs w:val="24"/>
        </w:rPr>
        <w:t>signalling</w:t>
      </w:r>
      <w:proofErr w:type="spellEnd"/>
      <w:r w:rsidRPr="000D1E37">
        <w:rPr>
          <w:rFonts w:eastAsia="Times New Roman" w:cs="Times New Roman"/>
          <w:szCs w:val="24"/>
        </w:rPr>
        <w:t xml:space="preserve"> to both investors and employees (BP, 2024). The problem can be viewed by applying the model of change developed by Kotter (2012): the initial stages of urgency, vision, and communication were </w:t>
      </w:r>
      <w:r w:rsidRPr="00DF3B7C">
        <w:rPr>
          <w:rFonts w:eastAsia="Times New Roman" w:cs="Times New Roman"/>
          <w:szCs w:val="24"/>
        </w:rPr>
        <w:t>realized</w:t>
      </w:r>
      <w:r w:rsidRPr="000D1E37">
        <w:rPr>
          <w:rFonts w:eastAsia="Times New Roman" w:cs="Times New Roman"/>
          <w:szCs w:val="24"/>
        </w:rPr>
        <w:t xml:space="preserve"> during the period when Looney led the company; however, since the cultural embedding to </w:t>
      </w:r>
      <w:r w:rsidRPr="00DF3B7C">
        <w:rPr>
          <w:rFonts w:eastAsia="Times New Roman" w:cs="Times New Roman"/>
          <w:szCs w:val="24"/>
        </w:rPr>
        <w:t>institutionalize</w:t>
      </w:r>
      <w:r w:rsidRPr="000D1E37">
        <w:rPr>
          <w:rFonts w:eastAsia="Times New Roman" w:cs="Times New Roman"/>
          <w:szCs w:val="24"/>
        </w:rPr>
        <w:t xml:space="preserve"> transformation was not completed, it can be concluded that the problem under discussion remains unresolved. Restructuring of </w:t>
      </w:r>
      <w:r w:rsidRPr="00DF3B7C">
        <w:rPr>
          <w:rFonts w:eastAsia="Times New Roman" w:cs="Times New Roman"/>
          <w:szCs w:val="24"/>
        </w:rPr>
        <w:t>organizations</w:t>
      </w:r>
      <w:r w:rsidRPr="000D1E37">
        <w:rPr>
          <w:rFonts w:eastAsia="Times New Roman" w:cs="Times New Roman"/>
          <w:szCs w:val="24"/>
        </w:rPr>
        <w:t xml:space="preserve"> has enhanced focus on operations, but workforce reduction and a risk-averse culture remain limiting innovation (Bloomberg, 2024). Comprehensively, the </w:t>
      </w:r>
      <w:r w:rsidRPr="000D1E37">
        <w:rPr>
          <w:rFonts w:eastAsia="Times New Roman" w:cs="Times New Roman"/>
          <w:szCs w:val="24"/>
        </w:rPr>
        <w:lastRenderedPageBreak/>
        <w:t>leadership style employed by BP is a reactive balancing act between competing priorities as opposed to the coherent, integrated transformation strategy.</w:t>
      </w:r>
    </w:p>
    <w:p w14:paraId="74AFDBBA" w14:textId="77777777" w:rsidR="00DF3B7C" w:rsidRPr="000D1E37" w:rsidRDefault="00DF3B7C" w:rsidP="00DF3B7C">
      <w:pPr>
        <w:spacing w:after="0" w:line="480" w:lineRule="auto"/>
        <w:ind w:firstLine="720"/>
        <w:rPr>
          <w:rFonts w:eastAsia="Times New Roman" w:cs="Times New Roman"/>
          <w:szCs w:val="24"/>
        </w:rPr>
      </w:pPr>
    </w:p>
    <w:p w14:paraId="198D69F1" w14:textId="77777777" w:rsidR="009177B4" w:rsidRPr="009177B4" w:rsidRDefault="00665C21" w:rsidP="00DF3B7C">
      <w:pPr>
        <w:spacing w:after="0" w:line="480" w:lineRule="auto"/>
        <w:outlineLvl w:val="2"/>
        <w:rPr>
          <w:rFonts w:eastAsia="Times New Roman" w:cs="Times New Roman"/>
          <w:b/>
          <w:bCs/>
          <w:i/>
          <w:szCs w:val="24"/>
        </w:rPr>
      </w:pPr>
      <w:r w:rsidRPr="00DF3B7C">
        <w:rPr>
          <w:rFonts w:eastAsia="Times New Roman" w:cs="Times New Roman"/>
          <w:b/>
          <w:bCs/>
          <w:i/>
          <w:szCs w:val="24"/>
        </w:rPr>
        <w:t>Performance Measurement: Balanced Scorecard</w:t>
      </w:r>
    </w:p>
    <w:p w14:paraId="61260C0E" w14:textId="77777777" w:rsidR="003A5619" w:rsidRPr="00DF3B7C" w:rsidRDefault="003A5619" w:rsidP="00DF3B7C">
      <w:pPr>
        <w:spacing w:after="0" w:line="480" w:lineRule="auto"/>
        <w:ind w:firstLine="720"/>
        <w:rPr>
          <w:rFonts w:eastAsia="Times New Roman" w:cs="Times New Roman"/>
          <w:szCs w:val="24"/>
        </w:rPr>
      </w:pPr>
      <w:r w:rsidRPr="003A5619">
        <w:rPr>
          <w:rFonts w:eastAsia="Times New Roman" w:cs="Times New Roman"/>
          <w:szCs w:val="24"/>
        </w:rPr>
        <w:t>The Balanced Scorecard maps the strategic goals of BP into measurable indicators of performance through four perspectives that enable a view of performance beyond financial measurement necessary to evaluate change on a holistic s</w:t>
      </w:r>
      <w:r w:rsidRPr="00DF3B7C">
        <w:rPr>
          <w:rFonts w:eastAsia="Times New Roman" w:cs="Times New Roman"/>
          <w:szCs w:val="24"/>
        </w:rPr>
        <w:t>cale</w:t>
      </w:r>
      <w:r w:rsidR="000D1E37" w:rsidRPr="00DF3B7C">
        <w:rPr>
          <w:rFonts w:eastAsia="Times New Roman" w:cs="Times New Roman"/>
          <w:szCs w:val="24"/>
        </w:rPr>
        <w:t xml:space="preserve"> </w:t>
      </w:r>
      <w:r w:rsidR="000D1E37" w:rsidRPr="00DF3B7C">
        <w:rPr>
          <w:rFonts w:cs="Times New Roman"/>
          <w:szCs w:val="24"/>
        </w:rPr>
        <w:t>(Kaplan and Norton, 1996)</w:t>
      </w:r>
      <w:r w:rsidRPr="00DF3B7C">
        <w:rPr>
          <w:rFonts w:eastAsia="Times New Roman" w:cs="Times New Roman"/>
          <w:szCs w:val="24"/>
        </w:rPr>
        <w:t>.</w:t>
      </w:r>
    </w:p>
    <w:p w14:paraId="0BA95632" w14:textId="77777777" w:rsidR="003A5619" w:rsidRPr="00DF3B7C" w:rsidRDefault="003A5619" w:rsidP="00DF3B7C">
      <w:pPr>
        <w:spacing w:after="0" w:line="480" w:lineRule="auto"/>
        <w:rPr>
          <w:rFonts w:eastAsia="Times New Roman" w:cs="Times New Roman"/>
          <w:i/>
          <w:szCs w:val="24"/>
        </w:rPr>
      </w:pPr>
      <w:r w:rsidRPr="00DF3B7C">
        <w:rPr>
          <w:rFonts w:eastAsia="Times New Roman" w:cs="Times New Roman"/>
          <w:i/>
          <w:szCs w:val="24"/>
        </w:rPr>
        <w:t>Financial Perspective</w:t>
      </w:r>
    </w:p>
    <w:p w14:paraId="7A5C7F39" w14:textId="77777777" w:rsidR="003A5619" w:rsidRPr="00DF3B7C" w:rsidRDefault="003A5619" w:rsidP="00DF3B7C">
      <w:pPr>
        <w:spacing w:after="0" w:line="480" w:lineRule="auto"/>
        <w:rPr>
          <w:rFonts w:eastAsia="Times New Roman" w:cs="Times New Roman"/>
          <w:szCs w:val="24"/>
        </w:rPr>
      </w:pPr>
      <w:r w:rsidRPr="003A5619">
        <w:rPr>
          <w:rFonts w:eastAsia="Times New Roman" w:cs="Times New Roman"/>
          <w:szCs w:val="24"/>
        </w:rPr>
        <w:t>The current performance is strong with a 9.2% EBITDA margin and a 14.3% ROCE in 2023, above the 12% corporate hurdle rate of BP (BP, 2024). The 2025-2027 targets contribute to continuing ROCE at or above 12 percent, and generating annual and free cash flows of between $8-10 billion, and delivering 3-5 percent revenue growth by product mix shift to higher-margin convenience and EV charging revenues. Some of the initiatives, such as optimization of refinery throughput and programs of cost reductions of up to 500 millio</w:t>
      </w:r>
      <w:r w:rsidRPr="00DF3B7C">
        <w:rPr>
          <w:rFonts w:eastAsia="Times New Roman" w:cs="Times New Roman"/>
          <w:szCs w:val="24"/>
        </w:rPr>
        <w:t>n dollars, are key initiatives.</w:t>
      </w:r>
    </w:p>
    <w:p w14:paraId="49899D5A" w14:textId="77777777" w:rsidR="00665C21" w:rsidRPr="00DF3B7C" w:rsidRDefault="00665C21" w:rsidP="00DF3B7C">
      <w:pPr>
        <w:spacing w:after="0" w:line="480" w:lineRule="auto"/>
        <w:rPr>
          <w:rFonts w:eastAsia="Times New Roman" w:cs="Times New Roman"/>
          <w:i/>
          <w:szCs w:val="24"/>
        </w:rPr>
      </w:pPr>
      <w:r w:rsidRPr="00DF3B7C">
        <w:rPr>
          <w:rFonts w:eastAsia="Times New Roman" w:cs="Times New Roman"/>
          <w:i/>
          <w:szCs w:val="24"/>
        </w:rPr>
        <w:t>Customer Perspective</w:t>
      </w:r>
    </w:p>
    <w:p w14:paraId="3F66520C" w14:textId="77777777" w:rsidR="000D1E37" w:rsidRPr="00DF3B7C" w:rsidRDefault="003A5619" w:rsidP="00DF3B7C">
      <w:pPr>
        <w:spacing w:after="0" w:line="480" w:lineRule="auto"/>
        <w:ind w:firstLine="720"/>
        <w:rPr>
          <w:rFonts w:eastAsia="Times New Roman" w:cs="Times New Roman"/>
          <w:szCs w:val="24"/>
        </w:rPr>
      </w:pPr>
      <w:r w:rsidRPr="003A5619">
        <w:rPr>
          <w:rFonts w:eastAsia="Times New Roman" w:cs="Times New Roman"/>
          <w:szCs w:val="24"/>
        </w:rPr>
        <w:t xml:space="preserve">BP reports an NPS of 38, expanding towards the target of 40, with approximately 10 million </w:t>
      </w:r>
      <w:proofErr w:type="spellStart"/>
      <w:r w:rsidRPr="003A5619">
        <w:rPr>
          <w:rFonts w:eastAsia="Times New Roman" w:cs="Times New Roman"/>
          <w:szCs w:val="24"/>
        </w:rPr>
        <w:t>BPme</w:t>
      </w:r>
      <w:proofErr w:type="spellEnd"/>
      <w:r w:rsidRPr="003A5619">
        <w:rPr>
          <w:rFonts w:eastAsia="Times New Roman" w:cs="Times New Roman"/>
          <w:szCs w:val="24"/>
        </w:rPr>
        <w:t xml:space="preserve"> app users and BP Pulse charging sessions increasing 60% per year (BP, 2024). Goals are 15 million active users of </w:t>
      </w:r>
      <w:proofErr w:type="spellStart"/>
      <w:r w:rsidRPr="003A5619">
        <w:rPr>
          <w:rFonts w:eastAsia="Times New Roman" w:cs="Times New Roman"/>
          <w:szCs w:val="24"/>
        </w:rPr>
        <w:t>BPme</w:t>
      </w:r>
      <w:proofErr w:type="spellEnd"/>
      <w:r w:rsidRPr="003A5619">
        <w:rPr>
          <w:rFonts w:eastAsia="Times New Roman" w:cs="Times New Roman"/>
          <w:szCs w:val="24"/>
        </w:rPr>
        <w:t xml:space="preserve">, </w:t>
      </w:r>
      <w:r w:rsidR="000D1E37" w:rsidRPr="00DF3B7C">
        <w:rPr>
          <w:rFonts w:eastAsia="Times New Roman" w:cs="Times New Roman"/>
          <w:szCs w:val="24"/>
        </w:rPr>
        <w:t>50% growth in the number of charging sessions each year, and maintaining the market share of retail fuel in core European markets. These metrics indicate an improvement in the digital interactions with customers, but an inadequate tempo of migration to low-carbon products.</w:t>
      </w:r>
    </w:p>
    <w:p w14:paraId="536673B8" w14:textId="77777777" w:rsidR="000D1E37" w:rsidRPr="00DF3B7C" w:rsidRDefault="00665C21" w:rsidP="00DF3B7C">
      <w:pPr>
        <w:spacing w:after="0" w:line="480" w:lineRule="auto"/>
        <w:rPr>
          <w:rFonts w:eastAsia="Times New Roman" w:cs="Times New Roman"/>
          <w:i/>
          <w:szCs w:val="24"/>
        </w:rPr>
      </w:pPr>
      <w:r w:rsidRPr="00DF3B7C">
        <w:rPr>
          <w:rFonts w:eastAsia="Times New Roman" w:cs="Times New Roman"/>
          <w:i/>
          <w:szCs w:val="24"/>
        </w:rPr>
        <w:t>Internal Process Perspective</w:t>
      </w:r>
    </w:p>
    <w:p w14:paraId="1C724020" w14:textId="77777777" w:rsidR="000D1E37" w:rsidRPr="00DF3B7C" w:rsidRDefault="000D1E37" w:rsidP="00DF3B7C">
      <w:pPr>
        <w:spacing w:after="0" w:line="480" w:lineRule="auto"/>
        <w:ind w:firstLine="720"/>
        <w:rPr>
          <w:rFonts w:eastAsia="Times New Roman" w:cs="Times New Roman"/>
          <w:i/>
          <w:szCs w:val="24"/>
        </w:rPr>
      </w:pPr>
      <w:r w:rsidRPr="00DF3B7C">
        <w:rPr>
          <w:rFonts w:eastAsia="Times New Roman" w:cs="Times New Roman"/>
          <w:szCs w:val="24"/>
        </w:rPr>
        <w:lastRenderedPageBreak/>
        <w:t xml:space="preserve">Unutilized refinery capacity </w:t>
      </w:r>
      <w:proofErr w:type="gramStart"/>
      <w:r w:rsidRPr="00DF3B7C">
        <w:rPr>
          <w:rFonts w:eastAsia="Times New Roman" w:cs="Times New Roman"/>
          <w:szCs w:val="24"/>
        </w:rPr>
        <w:t>were</w:t>
      </w:r>
      <w:proofErr w:type="gramEnd"/>
      <w:r w:rsidRPr="00DF3B7C">
        <w:rPr>
          <w:rFonts w:eastAsia="Times New Roman" w:cs="Times New Roman"/>
          <w:szCs w:val="24"/>
        </w:rPr>
        <w:t xml:space="preserve"> 91% against a 90% target, safety performance was 0.19 TRIR, which fell short of the 0.15 target; and digital penetration of transactions reached 48% against a 60% target (BP, 2024). These indicators reflect the operational excellence of traditional processes but point to the capability gaps of digital and low-carbon processes that need to be filled.</w:t>
      </w:r>
    </w:p>
    <w:p w14:paraId="6612BCC7" w14:textId="77777777" w:rsidR="00665C21" w:rsidRPr="00DF3B7C" w:rsidRDefault="003A5619" w:rsidP="00DF3B7C">
      <w:pPr>
        <w:spacing w:after="0" w:line="480" w:lineRule="auto"/>
        <w:rPr>
          <w:rFonts w:eastAsia="Times New Roman" w:cs="Times New Roman"/>
          <w:i/>
          <w:szCs w:val="24"/>
        </w:rPr>
      </w:pPr>
      <w:r w:rsidRPr="003A5619">
        <w:rPr>
          <w:rFonts w:eastAsia="Times New Roman" w:cs="Times New Roman"/>
          <w:i/>
          <w:szCs w:val="24"/>
        </w:rPr>
        <w:t>L</w:t>
      </w:r>
      <w:r w:rsidR="00665C21" w:rsidRPr="00DF3B7C">
        <w:rPr>
          <w:rFonts w:eastAsia="Times New Roman" w:cs="Times New Roman"/>
          <w:i/>
          <w:szCs w:val="24"/>
        </w:rPr>
        <w:t>earning and Growth Perspective</w:t>
      </w:r>
    </w:p>
    <w:p w14:paraId="77E0FE20" w14:textId="77777777" w:rsidR="00DF3B7C" w:rsidRDefault="003A5619" w:rsidP="00DF3B7C">
      <w:pPr>
        <w:spacing w:after="0" w:line="480" w:lineRule="auto"/>
        <w:ind w:firstLine="720"/>
        <w:rPr>
          <w:rFonts w:eastAsia="Times New Roman" w:cs="Times New Roman"/>
          <w:szCs w:val="24"/>
        </w:rPr>
      </w:pPr>
      <w:r w:rsidRPr="003A5619">
        <w:rPr>
          <w:rFonts w:eastAsia="Times New Roman" w:cs="Times New Roman"/>
          <w:szCs w:val="24"/>
        </w:rPr>
        <w:t>BP provided 32 average training hours per employee versus a target of 40 hours, with employee engagement at 68% compared to a target of 70% (BP, 2024). These gaps are most strategically important since the workforce capability and organizational culture form a foundation upon which all other transformations rely. Inadequate performance in this respect limits advancement in all other perspectives of the scorecard.</w:t>
      </w:r>
    </w:p>
    <w:p w14:paraId="0D81F7AE" w14:textId="77777777" w:rsidR="009177B4" w:rsidRPr="009177B4" w:rsidRDefault="003A5619" w:rsidP="00DF3B7C">
      <w:pPr>
        <w:spacing w:after="0" w:line="480" w:lineRule="auto"/>
        <w:ind w:firstLine="720"/>
        <w:rPr>
          <w:rFonts w:eastAsia="Times New Roman" w:cs="Times New Roman"/>
          <w:b/>
          <w:bCs/>
          <w:i/>
          <w:szCs w:val="24"/>
        </w:rPr>
      </w:pPr>
      <w:r w:rsidRPr="003A5619">
        <w:rPr>
          <w:rFonts w:eastAsia="Times New Roman" w:cs="Times New Roman"/>
          <w:szCs w:val="24"/>
        </w:rPr>
        <w:br/>
      </w:r>
      <w:r w:rsidRPr="00DF3B7C">
        <w:rPr>
          <w:rFonts w:eastAsia="Times New Roman" w:cs="Times New Roman"/>
          <w:b/>
          <w:bCs/>
          <w:i/>
          <w:szCs w:val="24"/>
        </w:rPr>
        <w:t>Conclusions and Recommendations</w:t>
      </w:r>
    </w:p>
    <w:p w14:paraId="4E0790F9" w14:textId="77777777" w:rsidR="003A5619" w:rsidRPr="00DF3B7C" w:rsidRDefault="003A5619" w:rsidP="00DF3B7C">
      <w:pPr>
        <w:spacing w:after="0" w:line="480" w:lineRule="auto"/>
        <w:ind w:firstLine="720"/>
        <w:rPr>
          <w:rFonts w:eastAsia="Times New Roman" w:cs="Times New Roman"/>
          <w:szCs w:val="24"/>
        </w:rPr>
      </w:pPr>
      <w:r w:rsidRPr="003A5619">
        <w:rPr>
          <w:rFonts w:eastAsia="Times New Roman" w:cs="Times New Roman"/>
          <w:szCs w:val="24"/>
        </w:rPr>
        <w:t xml:space="preserve">The Customers and Products segment of BP still maintains the assets, financial resources, and access to the market needed to negotiate the energy transition, but the current strategy is merely moderately robust. The above discussion indicates a business that produces high short-term financial results and long-term strategic weaknesses. The BCG Matrix confirms that the portfolio has a skewness towards declining cash cows, with the growth engine BP Pulse and convenience retail still in the process of development and not established. Sustainability promises are not operations but ambitions; the speed of innovation is lower than specialist competition, and </w:t>
      </w:r>
      <w:r w:rsidRPr="00DF3B7C">
        <w:rPr>
          <w:rFonts w:eastAsia="Times New Roman" w:cs="Times New Roman"/>
          <w:szCs w:val="24"/>
        </w:rPr>
        <w:t>organizational</w:t>
      </w:r>
      <w:r w:rsidRPr="003A5619">
        <w:rPr>
          <w:rFonts w:eastAsia="Times New Roman" w:cs="Times New Roman"/>
          <w:szCs w:val="24"/>
        </w:rPr>
        <w:t xml:space="preserve"> leadership is inconsistent between Looney and Auchincloss, which has weakened </w:t>
      </w:r>
      <w:r w:rsidRPr="00DF3B7C">
        <w:rPr>
          <w:rFonts w:eastAsia="Times New Roman" w:cs="Times New Roman"/>
          <w:szCs w:val="24"/>
        </w:rPr>
        <w:t>organizational</w:t>
      </w:r>
      <w:r w:rsidRPr="003A5619">
        <w:rPr>
          <w:rFonts w:eastAsia="Times New Roman" w:cs="Times New Roman"/>
          <w:szCs w:val="24"/>
        </w:rPr>
        <w:t xml:space="preserve"> momentum at a time when consistency was most ess</w:t>
      </w:r>
      <w:r w:rsidRPr="00DF3B7C">
        <w:rPr>
          <w:rFonts w:eastAsia="Times New Roman" w:cs="Times New Roman"/>
          <w:szCs w:val="24"/>
        </w:rPr>
        <w:t>ential.</w:t>
      </w:r>
    </w:p>
    <w:p w14:paraId="1351743B" w14:textId="77777777" w:rsidR="00705124" w:rsidRPr="00705124" w:rsidRDefault="003A5619" w:rsidP="00DF3B7C">
      <w:pPr>
        <w:spacing w:after="0" w:line="480" w:lineRule="auto"/>
        <w:ind w:firstLine="720"/>
        <w:rPr>
          <w:rFonts w:eastAsia="Times New Roman" w:cs="Times New Roman"/>
          <w:szCs w:val="24"/>
        </w:rPr>
      </w:pPr>
      <w:r w:rsidRPr="003A5619">
        <w:rPr>
          <w:rFonts w:eastAsia="Times New Roman" w:cs="Times New Roman"/>
          <w:szCs w:val="24"/>
        </w:rPr>
        <w:lastRenderedPageBreak/>
        <w:t>Based on this, the following recommendations are presented to the C-suite. Aggressive investment needs to be directed towards the BP Pulse and convenience retail, with a target of 100,000 charge points by 2030, as well as expansion to 1,000+ premium convenience locations leveraging pre-existing retail infrastructure before network effects entr</w:t>
      </w:r>
      <w:r w:rsidRPr="00DF3B7C">
        <w:rPr>
          <w:rFonts w:eastAsia="Times New Roman" w:cs="Times New Roman"/>
          <w:szCs w:val="24"/>
        </w:rPr>
        <w:t>ench specialist competitors</w:t>
      </w:r>
      <w:r w:rsidRPr="003A5619">
        <w:rPr>
          <w:rFonts w:eastAsia="Times New Roman" w:cs="Times New Roman"/>
          <w:szCs w:val="24"/>
        </w:rPr>
        <w:t xml:space="preserve">. Conventional retail fuels and Castrol must be held and harvested and provided with maintenance capital only whilst they continue to </w:t>
      </w:r>
      <w:r w:rsidRPr="00DF3B7C">
        <w:rPr>
          <w:rFonts w:eastAsia="Times New Roman" w:cs="Times New Roman"/>
          <w:szCs w:val="24"/>
        </w:rPr>
        <w:t>maximize</w:t>
      </w:r>
      <w:r w:rsidRPr="003A5619">
        <w:rPr>
          <w:rFonts w:eastAsia="Times New Roman" w:cs="Times New Roman"/>
          <w:szCs w:val="24"/>
        </w:rPr>
        <w:t xml:space="preserve"> cash gen</w:t>
      </w:r>
      <w:r w:rsidRPr="00DF3B7C">
        <w:rPr>
          <w:rFonts w:eastAsia="Times New Roman" w:cs="Times New Roman"/>
          <w:szCs w:val="24"/>
        </w:rPr>
        <w:t>eration to fund transformation</w:t>
      </w:r>
      <w:r w:rsidRPr="003A5619">
        <w:rPr>
          <w:rFonts w:eastAsia="Times New Roman" w:cs="Times New Roman"/>
          <w:szCs w:val="24"/>
        </w:rPr>
        <w:t>. Nonperforming refining assets need to be divested, with a 20-30% reduction of capacity by 2027 planned, and an estimated 2-3 billion of capacity redep</w:t>
      </w:r>
      <w:r w:rsidRPr="00DF3B7C">
        <w:rPr>
          <w:rFonts w:eastAsia="Times New Roman" w:cs="Times New Roman"/>
          <w:szCs w:val="24"/>
        </w:rPr>
        <w:t>loyed toward growth priorities</w:t>
      </w:r>
      <w:r w:rsidRPr="003A5619">
        <w:rPr>
          <w:rFonts w:eastAsia="Times New Roman" w:cs="Times New Roman"/>
          <w:szCs w:val="24"/>
        </w:rPr>
        <w:t>. BP also needs to attain short-term strategic clarity about biofuels, either by committing to scale competitiveness or by abandoning it with an intermediate position consuming resources rather than adding value. The transformation window is open and is narrowing; the strategic direction of BP is good, but execution commitment is the key uncertainty.</w:t>
      </w:r>
    </w:p>
    <w:p w14:paraId="36E4B1C2" w14:textId="77777777" w:rsidR="003A5619" w:rsidRPr="00DF3B7C" w:rsidRDefault="003A5619" w:rsidP="00DF3B7C">
      <w:pPr>
        <w:spacing w:after="0" w:line="480" w:lineRule="auto"/>
        <w:rPr>
          <w:rFonts w:eastAsia="Times New Roman" w:cs="Times New Roman"/>
          <w:b/>
          <w:bCs/>
          <w:szCs w:val="24"/>
        </w:rPr>
      </w:pPr>
      <w:r w:rsidRPr="00DF3B7C">
        <w:rPr>
          <w:rFonts w:eastAsia="Times New Roman" w:cs="Times New Roman"/>
          <w:b/>
          <w:bCs/>
          <w:szCs w:val="24"/>
        </w:rPr>
        <w:br w:type="page"/>
      </w:r>
    </w:p>
    <w:p w14:paraId="7E842D66" w14:textId="77777777" w:rsidR="003A5619" w:rsidRPr="00DF3B7C" w:rsidRDefault="003A5619" w:rsidP="00DF3B7C">
      <w:pPr>
        <w:keepNext/>
        <w:keepLines/>
        <w:spacing w:after="0" w:line="480" w:lineRule="auto"/>
        <w:contextualSpacing/>
        <w:outlineLvl w:val="0"/>
        <w:rPr>
          <w:rFonts w:eastAsia="Times New Roman" w:cs="Times New Roman"/>
          <w:b/>
          <w:i/>
          <w:color w:val="000000"/>
          <w:szCs w:val="24"/>
        </w:rPr>
      </w:pPr>
      <w:r w:rsidRPr="003A5619">
        <w:rPr>
          <w:rFonts w:eastAsia="Times New Roman" w:cs="Times New Roman"/>
          <w:b/>
          <w:i/>
          <w:color w:val="000000"/>
          <w:szCs w:val="24"/>
        </w:rPr>
        <w:lastRenderedPageBreak/>
        <w:t xml:space="preserve">Bibliography </w:t>
      </w:r>
    </w:p>
    <w:p w14:paraId="2FCE9EA9" w14:textId="77777777" w:rsidR="00DF3B7C" w:rsidRPr="00DF3B7C" w:rsidRDefault="00DF3B7C" w:rsidP="00AC76BB">
      <w:pPr>
        <w:pStyle w:val="Bibliography"/>
        <w:spacing w:after="0" w:line="480" w:lineRule="auto"/>
        <w:ind w:left="720" w:hanging="720"/>
        <w:rPr>
          <w:rFonts w:cs="Times New Roman"/>
          <w:szCs w:val="24"/>
        </w:rPr>
      </w:pPr>
      <w:r w:rsidRPr="00DF3B7C">
        <w:rPr>
          <w:rFonts w:cs="Times New Roman"/>
          <w:szCs w:val="24"/>
        </w:rPr>
        <w:t xml:space="preserve">BP (2024a) </w:t>
      </w:r>
      <w:r w:rsidRPr="00DF3B7C">
        <w:rPr>
          <w:rFonts w:cs="Times New Roman"/>
          <w:i/>
          <w:iCs/>
          <w:szCs w:val="24"/>
        </w:rPr>
        <w:t>Annual Report and Form 20-F 2023. London</w:t>
      </w:r>
      <w:r w:rsidRPr="00DF3B7C">
        <w:rPr>
          <w:rFonts w:cs="Times New Roman"/>
          <w:szCs w:val="24"/>
        </w:rPr>
        <w:t>. Available at: https://www.bp.com/content/dam/bp/business-sites/en/global/corporate/pdfs/investors/bp-annual-report-and-form-20f-2023.pdf.</w:t>
      </w:r>
    </w:p>
    <w:p w14:paraId="24A995EF" w14:textId="77777777" w:rsidR="00DF3B7C" w:rsidRPr="00DF3B7C" w:rsidRDefault="00DF3B7C" w:rsidP="00AC76BB">
      <w:pPr>
        <w:pStyle w:val="Bibliography"/>
        <w:spacing w:after="0" w:line="480" w:lineRule="auto"/>
        <w:ind w:left="720" w:hanging="720"/>
        <w:rPr>
          <w:rFonts w:cs="Times New Roman"/>
          <w:szCs w:val="24"/>
        </w:rPr>
      </w:pPr>
      <w:r w:rsidRPr="00DF3B7C">
        <w:rPr>
          <w:rFonts w:cs="Times New Roman"/>
          <w:szCs w:val="24"/>
        </w:rPr>
        <w:t xml:space="preserve">BP (2024b) </w:t>
      </w:r>
      <w:r w:rsidRPr="00DF3B7C">
        <w:rPr>
          <w:rFonts w:cs="Times New Roman"/>
          <w:i/>
          <w:iCs/>
          <w:szCs w:val="24"/>
        </w:rPr>
        <w:t>Fourth Quarter and Full Year 2023 Results. Form 6-K filed with the SEC</w:t>
      </w:r>
      <w:r w:rsidRPr="00DF3B7C">
        <w:rPr>
          <w:rFonts w:cs="Times New Roman"/>
          <w:szCs w:val="24"/>
        </w:rPr>
        <w:t>. Available at: https://www.sec.gov/Archives/edgar/data/313807/000031380724000003/a31122023bp6kq4.htm (Accessed: May 4, 2026).</w:t>
      </w:r>
    </w:p>
    <w:p w14:paraId="18E9B1D1" w14:textId="77777777" w:rsidR="00705124" w:rsidRPr="00705124" w:rsidRDefault="00705124" w:rsidP="00AC76BB">
      <w:pPr>
        <w:keepNext/>
        <w:keepLines/>
        <w:spacing w:after="0" w:line="480" w:lineRule="auto"/>
        <w:ind w:left="720" w:hanging="720"/>
        <w:contextualSpacing/>
        <w:outlineLvl w:val="0"/>
        <w:rPr>
          <w:rFonts w:eastAsia="Times New Roman" w:cs="Times New Roman"/>
          <w:b/>
          <w:i/>
          <w:color w:val="000000"/>
          <w:szCs w:val="24"/>
        </w:rPr>
      </w:pPr>
      <w:r w:rsidRPr="00705124">
        <w:rPr>
          <w:rFonts w:eastAsia="Times New Roman" w:cs="Times New Roman"/>
          <w:szCs w:val="24"/>
        </w:rPr>
        <w:t xml:space="preserve">BP (2020) </w:t>
      </w:r>
      <w:r w:rsidRPr="00DF3B7C">
        <w:rPr>
          <w:rFonts w:eastAsia="Times New Roman" w:cs="Times New Roman"/>
          <w:i/>
          <w:iCs/>
          <w:szCs w:val="24"/>
        </w:rPr>
        <w:t>From International Oil Company to Integrated Energy Company: BP sets out strategy to 2030</w:t>
      </w:r>
      <w:r w:rsidRPr="00705124">
        <w:rPr>
          <w:rFonts w:eastAsia="Times New Roman" w:cs="Times New Roman"/>
          <w:szCs w:val="24"/>
        </w:rPr>
        <w:t xml:space="preserve">. Available at: </w:t>
      </w:r>
      <w:hyperlink r:id="rId7" w:history="1">
        <w:r w:rsidRPr="00DF3B7C">
          <w:rPr>
            <w:rFonts w:eastAsia="Times New Roman" w:cs="Times New Roman"/>
            <w:color w:val="0000FF"/>
            <w:szCs w:val="24"/>
            <w:u w:val="single"/>
          </w:rPr>
          <w:t>https://www.bp.com/en/global/corporate/news-and-insights/press-releases/bernard-looney-announces-new-ambition-for-bp.html</w:t>
        </w:r>
      </w:hyperlink>
      <w:r w:rsidRPr="00705124">
        <w:rPr>
          <w:rFonts w:eastAsia="Times New Roman" w:cs="Times New Roman"/>
          <w:szCs w:val="24"/>
        </w:rPr>
        <w:t xml:space="preserve"> (Accessed: 28 April 2025).</w:t>
      </w:r>
    </w:p>
    <w:p w14:paraId="5857570C" w14:textId="77777777" w:rsidR="00705124" w:rsidRPr="00705124" w:rsidRDefault="00705124" w:rsidP="00AC76BB">
      <w:pPr>
        <w:spacing w:after="0" w:line="480" w:lineRule="auto"/>
        <w:ind w:left="720" w:hanging="720"/>
        <w:rPr>
          <w:rFonts w:eastAsia="Times New Roman" w:cs="Times New Roman"/>
          <w:szCs w:val="24"/>
        </w:rPr>
      </w:pPr>
      <w:r w:rsidRPr="00705124">
        <w:rPr>
          <w:rFonts w:eastAsia="Times New Roman" w:cs="Times New Roman"/>
          <w:szCs w:val="24"/>
        </w:rPr>
        <w:t xml:space="preserve">BP (2024) </w:t>
      </w:r>
      <w:r w:rsidRPr="00DF3B7C">
        <w:rPr>
          <w:rFonts w:eastAsia="Times New Roman" w:cs="Times New Roman"/>
          <w:i/>
          <w:iCs/>
          <w:szCs w:val="24"/>
        </w:rPr>
        <w:t>Sustainability Report 2024: Aims and Progress</w:t>
      </w:r>
      <w:r w:rsidRPr="00705124">
        <w:rPr>
          <w:rFonts w:eastAsia="Times New Roman" w:cs="Times New Roman"/>
          <w:szCs w:val="24"/>
        </w:rPr>
        <w:t xml:space="preserve">. London: BP p.l.c. Available at: </w:t>
      </w:r>
      <w:hyperlink r:id="rId8" w:history="1">
        <w:r w:rsidRPr="00DF3B7C">
          <w:rPr>
            <w:rFonts w:eastAsia="Times New Roman" w:cs="Times New Roman"/>
            <w:color w:val="0000FF"/>
            <w:szCs w:val="24"/>
            <w:u w:val="single"/>
          </w:rPr>
          <w:t>https://www.bp.com/en/global/corporate/sustainability/aims-and-progress.html</w:t>
        </w:r>
      </w:hyperlink>
      <w:r w:rsidRPr="00705124">
        <w:rPr>
          <w:rFonts w:eastAsia="Times New Roman" w:cs="Times New Roman"/>
          <w:szCs w:val="24"/>
        </w:rPr>
        <w:t xml:space="preserve"> (Accessed: 28 April 2025).</w:t>
      </w:r>
    </w:p>
    <w:p w14:paraId="29B34313" w14:textId="77777777" w:rsidR="00705124" w:rsidRPr="00705124" w:rsidRDefault="00705124" w:rsidP="00AC76BB">
      <w:pPr>
        <w:spacing w:after="0" w:line="480" w:lineRule="auto"/>
        <w:ind w:left="720" w:hanging="720"/>
        <w:rPr>
          <w:rFonts w:eastAsia="Times New Roman" w:cs="Times New Roman"/>
          <w:szCs w:val="24"/>
        </w:rPr>
      </w:pPr>
      <w:r w:rsidRPr="00705124">
        <w:rPr>
          <w:rFonts w:eastAsia="Times New Roman" w:cs="Times New Roman"/>
          <w:szCs w:val="24"/>
        </w:rPr>
        <w:t xml:space="preserve">Bloomberg (2024) 'BP scales back energy transition targets amid investor pressure', </w:t>
      </w:r>
      <w:r w:rsidRPr="00DF3B7C">
        <w:rPr>
          <w:rFonts w:eastAsia="Times New Roman" w:cs="Times New Roman"/>
          <w:i/>
          <w:iCs/>
          <w:szCs w:val="24"/>
        </w:rPr>
        <w:t>Bloomberg News</w:t>
      </w:r>
      <w:r w:rsidRPr="00705124">
        <w:rPr>
          <w:rFonts w:eastAsia="Times New Roman" w:cs="Times New Roman"/>
          <w:szCs w:val="24"/>
        </w:rPr>
        <w:t xml:space="preserve">, 14 February. Available at: </w:t>
      </w:r>
      <w:hyperlink r:id="rId9" w:history="1">
        <w:r w:rsidRPr="00DF3B7C">
          <w:rPr>
            <w:rFonts w:eastAsia="Times New Roman" w:cs="Times New Roman"/>
            <w:color w:val="0000FF"/>
            <w:szCs w:val="24"/>
            <w:u w:val="single"/>
          </w:rPr>
          <w:t>https://www.bloomberg.com/news/articles/2024-02-14/bp-scales-back-renewables-targets</w:t>
        </w:r>
      </w:hyperlink>
      <w:r w:rsidRPr="00705124">
        <w:rPr>
          <w:rFonts w:eastAsia="Times New Roman" w:cs="Times New Roman"/>
          <w:szCs w:val="24"/>
        </w:rPr>
        <w:t xml:space="preserve"> (Accessed: 29 April 2025).</w:t>
      </w:r>
    </w:p>
    <w:p w14:paraId="5D20EFF7" w14:textId="77777777" w:rsidR="00705124" w:rsidRPr="00705124" w:rsidRDefault="00705124" w:rsidP="00AC76BB">
      <w:pPr>
        <w:spacing w:after="0" w:line="480" w:lineRule="auto"/>
        <w:ind w:left="720" w:hanging="720"/>
        <w:rPr>
          <w:rFonts w:eastAsia="Times New Roman" w:cs="Times New Roman"/>
          <w:szCs w:val="24"/>
        </w:rPr>
      </w:pPr>
      <w:r w:rsidRPr="00705124">
        <w:rPr>
          <w:rFonts w:eastAsia="Times New Roman" w:cs="Times New Roman"/>
          <w:szCs w:val="24"/>
        </w:rPr>
        <w:t xml:space="preserve">Deloitte (2023) </w:t>
      </w:r>
      <w:r w:rsidRPr="00DF3B7C">
        <w:rPr>
          <w:rFonts w:eastAsia="Times New Roman" w:cs="Times New Roman"/>
          <w:i/>
          <w:iCs/>
          <w:szCs w:val="24"/>
        </w:rPr>
        <w:t>2023 Oil and Gas Industry Outlook: Balancing transition with traditional operations</w:t>
      </w:r>
      <w:r w:rsidRPr="00705124">
        <w:rPr>
          <w:rFonts w:eastAsia="Times New Roman" w:cs="Times New Roman"/>
          <w:szCs w:val="24"/>
        </w:rPr>
        <w:t xml:space="preserve">. Deloitte Insights. Available at: </w:t>
      </w:r>
      <w:hyperlink r:id="rId10" w:history="1">
        <w:r w:rsidRPr="00DF3B7C">
          <w:rPr>
            <w:rFonts w:eastAsia="Times New Roman" w:cs="Times New Roman"/>
            <w:color w:val="0000FF"/>
            <w:szCs w:val="24"/>
            <w:u w:val="single"/>
          </w:rPr>
          <w:t>https://www2.deloitte.com/us/en/insights/industry/oil-and-gas/oil-and-gas-industry-outlook.html</w:t>
        </w:r>
      </w:hyperlink>
      <w:r w:rsidRPr="00705124">
        <w:rPr>
          <w:rFonts w:eastAsia="Times New Roman" w:cs="Times New Roman"/>
          <w:szCs w:val="24"/>
        </w:rPr>
        <w:t xml:space="preserve"> (Accessed: 29 April 2025).</w:t>
      </w:r>
    </w:p>
    <w:p w14:paraId="53A2BC2F" w14:textId="77777777" w:rsidR="00705124" w:rsidRPr="00705124" w:rsidRDefault="00705124" w:rsidP="00AC76BB">
      <w:pPr>
        <w:spacing w:after="0" w:line="480" w:lineRule="auto"/>
        <w:ind w:left="720" w:hanging="720"/>
        <w:rPr>
          <w:rFonts w:eastAsia="Times New Roman" w:cs="Times New Roman"/>
          <w:szCs w:val="24"/>
        </w:rPr>
      </w:pPr>
      <w:r w:rsidRPr="00705124">
        <w:rPr>
          <w:rFonts w:eastAsia="Times New Roman" w:cs="Times New Roman"/>
          <w:szCs w:val="24"/>
        </w:rPr>
        <w:t xml:space="preserve">Financial Times (2024) 'BP's strategic U-turn raises questions over net zero commitment', </w:t>
      </w:r>
      <w:r w:rsidRPr="00DF3B7C">
        <w:rPr>
          <w:rFonts w:eastAsia="Times New Roman" w:cs="Times New Roman"/>
          <w:i/>
          <w:iCs/>
          <w:szCs w:val="24"/>
        </w:rPr>
        <w:t>Financial Times</w:t>
      </w:r>
      <w:r w:rsidRPr="00705124">
        <w:rPr>
          <w:rFonts w:eastAsia="Times New Roman" w:cs="Times New Roman"/>
          <w:szCs w:val="24"/>
        </w:rPr>
        <w:t>, 7 February, p. 15.</w:t>
      </w:r>
    </w:p>
    <w:p w14:paraId="251A2EAB" w14:textId="77777777" w:rsidR="00705124" w:rsidRPr="00705124" w:rsidRDefault="00705124" w:rsidP="00AC76BB">
      <w:pPr>
        <w:spacing w:after="0" w:line="480" w:lineRule="auto"/>
        <w:ind w:left="720" w:hanging="720"/>
        <w:rPr>
          <w:rFonts w:eastAsia="Times New Roman" w:cs="Times New Roman"/>
          <w:szCs w:val="24"/>
        </w:rPr>
      </w:pPr>
      <w:r w:rsidRPr="00705124">
        <w:rPr>
          <w:rFonts w:eastAsia="Times New Roman" w:cs="Times New Roman"/>
          <w:szCs w:val="24"/>
        </w:rPr>
        <w:lastRenderedPageBreak/>
        <w:t xml:space="preserve">Grant, R.M. (2022) </w:t>
      </w:r>
      <w:r w:rsidRPr="00DF3B7C">
        <w:rPr>
          <w:rFonts w:eastAsia="Times New Roman" w:cs="Times New Roman"/>
          <w:i/>
          <w:iCs/>
          <w:szCs w:val="24"/>
        </w:rPr>
        <w:t>Contemporary Strategy Analysis</w:t>
      </w:r>
      <w:r w:rsidRPr="00705124">
        <w:rPr>
          <w:rFonts w:eastAsia="Times New Roman" w:cs="Times New Roman"/>
          <w:szCs w:val="24"/>
        </w:rPr>
        <w:t xml:space="preserve">. 11th </w:t>
      </w:r>
      <w:proofErr w:type="spellStart"/>
      <w:r w:rsidRPr="00705124">
        <w:rPr>
          <w:rFonts w:eastAsia="Times New Roman" w:cs="Times New Roman"/>
          <w:szCs w:val="24"/>
        </w:rPr>
        <w:t>edn</w:t>
      </w:r>
      <w:proofErr w:type="spellEnd"/>
      <w:r w:rsidRPr="00705124">
        <w:rPr>
          <w:rFonts w:eastAsia="Times New Roman" w:cs="Times New Roman"/>
          <w:szCs w:val="24"/>
        </w:rPr>
        <w:t>. Hoboken: John Wiley &amp; Sons.</w:t>
      </w:r>
    </w:p>
    <w:p w14:paraId="787D168E" w14:textId="77777777" w:rsidR="00705124" w:rsidRPr="00705124" w:rsidRDefault="00705124" w:rsidP="00AC76BB">
      <w:pPr>
        <w:spacing w:after="0" w:line="480" w:lineRule="auto"/>
        <w:ind w:left="720" w:hanging="720"/>
        <w:rPr>
          <w:rFonts w:eastAsia="Times New Roman" w:cs="Times New Roman"/>
          <w:szCs w:val="24"/>
        </w:rPr>
      </w:pPr>
      <w:r w:rsidRPr="00705124">
        <w:rPr>
          <w:rFonts w:eastAsia="Times New Roman" w:cs="Times New Roman"/>
          <w:szCs w:val="24"/>
        </w:rPr>
        <w:t xml:space="preserve">International Energy Agency (IEA) (2024) </w:t>
      </w:r>
      <w:r w:rsidRPr="00DF3B7C">
        <w:rPr>
          <w:rFonts w:eastAsia="Times New Roman" w:cs="Times New Roman"/>
          <w:i/>
          <w:iCs/>
          <w:szCs w:val="24"/>
        </w:rPr>
        <w:t>Global EV Outlook 2024</w:t>
      </w:r>
      <w:r w:rsidRPr="00705124">
        <w:rPr>
          <w:rFonts w:eastAsia="Times New Roman" w:cs="Times New Roman"/>
          <w:szCs w:val="24"/>
        </w:rPr>
        <w:t xml:space="preserve">. Paris: IEA Publications. Available at: </w:t>
      </w:r>
      <w:hyperlink r:id="rId11" w:history="1">
        <w:r w:rsidRPr="00DF3B7C">
          <w:rPr>
            <w:rFonts w:eastAsia="Times New Roman" w:cs="Times New Roman"/>
            <w:color w:val="0000FF"/>
            <w:szCs w:val="24"/>
            <w:u w:val="single"/>
          </w:rPr>
          <w:t>https://www.iea.org/reports/global-ev-outlook-2024</w:t>
        </w:r>
      </w:hyperlink>
      <w:r w:rsidRPr="00705124">
        <w:rPr>
          <w:rFonts w:eastAsia="Times New Roman" w:cs="Times New Roman"/>
          <w:szCs w:val="24"/>
        </w:rPr>
        <w:t xml:space="preserve"> (Accessed: 28 April 2025).</w:t>
      </w:r>
    </w:p>
    <w:p w14:paraId="71D74DE1" w14:textId="77777777" w:rsidR="00705124" w:rsidRPr="00705124" w:rsidRDefault="00705124" w:rsidP="00AC76BB">
      <w:pPr>
        <w:spacing w:after="0" w:line="480" w:lineRule="auto"/>
        <w:ind w:left="720" w:hanging="720"/>
        <w:rPr>
          <w:rFonts w:eastAsia="Times New Roman" w:cs="Times New Roman"/>
          <w:szCs w:val="24"/>
        </w:rPr>
      </w:pPr>
      <w:r w:rsidRPr="00705124">
        <w:rPr>
          <w:rFonts w:eastAsia="Times New Roman" w:cs="Times New Roman"/>
          <w:szCs w:val="24"/>
        </w:rPr>
        <w:t xml:space="preserve">Johnson, G., Whittington, R., Scholes, K., Angwin, D. and </w:t>
      </w:r>
      <w:proofErr w:type="spellStart"/>
      <w:r w:rsidRPr="00705124">
        <w:rPr>
          <w:rFonts w:eastAsia="Times New Roman" w:cs="Times New Roman"/>
          <w:szCs w:val="24"/>
        </w:rPr>
        <w:t>Regnér</w:t>
      </w:r>
      <w:proofErr w:type="spellEnd"/>
      <w:r w:rsidRPr="00705124">
        <w:rPr>
          <w:rFonts w:eastAsia="Times New Roman" w:cs="Times New Roman"/>
          <w:szCs w:val="24"/>
        </w:rPr>
        <w:t xml:space="preserve">, P. (2023) </w:t>
      </w:r>
      <w:r w:rsidRPr="00DF3B7C">
        <w:rPr>
          <w:rFonts w:eastAsia="Times New Roman" w:cs="Times New Roman"/>
          <w:i/>
          <w:iCs/>
          <w:szCs w:val="24"/>
        </w:rPr>
        <w:t>Exploring Strategy: Text and Cases</w:t>
      </w:r>
      <w:r w:rsidRPr="00705124">
        <w:rPr>
          <w:rFonts w:eastAsia="Times New Roman" w:cs="Times New Roman"/>
          <w:szCs w:val="24"/>
        </w:rPr>
        <w:t xml:space="preserve">. 13th </w:t>
      </w:r>
      <w:proofErr w:type="spellStart"/>
      <w:r w:rsidRPr="00705124">
        <w:rPr>
          <w:rFonts w:eastAsia="Times New Roman" w:cs="Times New Roman"/>
          <w:szCs w:val="24"/>
        </w:rPr>
        <w:t>edn</w:t>
      </w:r>
      <w:proofErr w:type="spellEnd"/>
      <w:r w:rsidRPr="00705124">
        <w:rPr>
          <w:rFonts w:eastAsia="Times New Roman" w:cs="Times New Roman"/>
          <w:szCs w:val="24"/>
        </w:rPr>
        <w:t>. Harlow: Pearson Education Limited.</w:t>
      </w:r>
    </w:p>
    <w:p w14:paraId="6BD39A29" w14:textId="77777777" w:rsidR="00705124" w:rsidRPr="00705124" w:rsidRDefault="00705124" w:rsidP="00AC76BB">
      <w:pPr>
        <w:spacing w:after="0" w:line="480" w:lineRule="auto"/>
        <w:ind w:left="720" w:hanging="720"/>
        <w:rPr>
          <w:rFonts w:eastAsia="Times New Roman" w:cs="Times New Roman"/>
          <w:szCs w:val="24"/>
        </w:rPr>
      </w:pPr>
      <w:r w:rsidRPr="00705124">
        <w:rPr>
          <w:rFonts w:eastAsia="Times New Roman" w:cs="Times New Roman"/>
          <w:szCs w:val="24"/>
        </w:rPr>
        <w:t xml:space="preserve">Kaplan, R.S. and Norton, D.P. (1996) 'Using the Balanced Scorecard as a strategic management system', </w:t>
      </w:r>
      <w:r w:rsidRPr="00DF3B7C">
        <w:rPr>
          <w:rFonts w:eastAsia="Times New Roman" w:cs="Times New Roman"/>
          <w:i/>
          <w:iCs/>
          <w:szCs w:val="24"/>
        </w:rPr>
        <w:t>Harvard Business Review</w:t>
      </w:r>
      <w:r w:rsidRPr="00705124">
        <w:rPr>
          <w:rFonts w:eastAsia="Times New Roman" w:cs="Times New Roman"/>
          <w:szCs w:val="24"/>
        </w:rPr>
        <w:t>, 74(1), pp. 75-85.</w:t>
      </w:r>
    </w:p>
    <w:p w14:paraId="2FCE069D" w14:textId="77777777" w:rsidR="00705124" w:rsidRPr="00705124" w:rsidRDefault="00705124" w:rsidP="00AC76BB">
      <w:pPr>
        <w:spacing w:after="0" w:line="480" w:lineRule="auto"/>
        <w:ind w:left="720" w:hanging="720"/>
        <w:rPr>
          <w:rFonts w:eastAsia="Times New Roman" w:cs="Times New Roman"/>
          <w:szCs w:val="24"/>
        </w:rPr>
      </w:pPr>
      <w:r w:rsidRPr="00705124">
        <w:rPr>
          <w:rFonts w:eastAsia="Times New Roman" w:cs="Times New Roman"/>
          <w:szCs w:val="24"/>
        </w:rPr>
        <w:t xml:space="preserve">Kotter, J.P. (2012) </w:t>
      </w:r>
      <w:r w:rsidRPr="00DF3B7C">
        <w:rPr>
          <w:rFonts w:eastAsia="Times New Roman" w:cs="Times New Roman"/>
          <w:i/>
          <w:iCs/>
          <w:szCs w:val="24"/>
        </w:rPr>
        <w:t>Leading Change</w:t>
      </w:r>
      <w:r w:rsidRPr="00705124">
        <w:rPr>
          <w:rFonts w:eastAsia="Times New Roman" w:cs="Times New Roman"/>
          <w:szCs w:val="24"/>
        </w:rPr>
        <w:t>. Boston: Harvard Business Review Press.</w:t>
      </w:r>
    </w:p>
    <w:p w14:paraId="0DE08849" w14:textId="77777777" w:rsidR="00705124" w:rsidRPr="00705124" w:rsidRDefault="00705124" w:rsidP="00AC76BB">
      <w:pPr>
        <w:spacing w:after="0" w:line="480" w:lineRule="auto"/>
        <w:ind w:left="720" w:hanging="720"/>
        <w:rPr>
          <w:rFonts w:eastAsia="Times New Roman" w:cs="Times New Roman"/>
          <w:szCs w:val="24"/>
        </w:rPr>
      </w:pPr>
      <w:r w:rsidRPr="00705124">
        <w:rPr>
          <w:rFonts w:eastAsia="Times New Roman" w:cs="Times New Roman"/>
          <w:szCs w:val="24"/>
        </w:rPr>
        <w:t xml:space="preserve">Porter, M.E. and Kramer, M.R. (2011) 'Creating Shared Value', </w:t>
      </w:r>
      <w:r w:rsidRPr="00DF3B7C">
        <w:rPr>
          <w:rFonts w:eastAsia="Times New Roman" w:cs="Times New Roman"/>
          <w:i/>
          <w:iCs/>
          <w:szCs w:val="24"/>
        </w:rPr>
        <w:t>Harvard Business Review</w:t>
      </w:r>
      <w:r w:rsidRPr="00705124">
        <w:rPr>
          <w:rFonts w:eastAsia="Times New Roman" w:cs="Times New Roman"/>
          <w:szCs w:val="24"/>
        </w:rPr>
        <w:t>, 89(1/2), pp. 62-77.</w:t>
      </w:r>
    </w:p>
    <w:p w14:paraId="79D9046D" w14:textId="77777777" w:rsidR="00705124" w:rsidRPr="00705124" w:rsidRDefault="00705124" w:rsidP="00AC76BB">
      <w:pPr>
        <w:spacing w:after="0" w:line="480" w:lineRule="auto"/>
        <w:ind w:left="720" w:hanging="720"/>
        <w:rPr>
          <w:rFonts w:eastAsia="Times New Roman" w:cs="Times New Roman"/>
          <w:szCs w:val="24"/>
        </w:rPr>
      </w:pPr>
      <w:r w:rsidRPr="00705124">
        <w:rPr>
          <w:rFonts w:eastAsia="Times New Roman" w:cs="Times New Roman"/>
          <w:szCs w:val="24"/>
        </w:rPr>
        <w:t xml:space="preserve">Reuters (2024) 'Electric vehicle charging market competitive dynamics analysis', </w:t>
      </w:r>
      <w:r w:rsidRPr="00DF3B7C">
        <w:rPr>
          <w:rFonts w:eastAsia="Times New Roman" w:cs="Times New Roman"/>
          <w:i/>
          <w:iCs/>
          <w:szCs w:val="24"/>
        </w:rPr>
        <w:t>Reuters Market Research</w:t>
      </w:r>
      <w:r w:rsidRPr="00705124">
        <w:rPr>
          <w:rFonts w:eastAsia="Times New Roman" w:cs="Times New Roman"/>
          <w:szCs w:val="24"/>
        </w:rPr>
        <w:t xml:space="preserve">, 15 March. Available at: </w:t>
      </w:r>
      <w:hyperlink r:id="rId12" w:history="1">
        <w:r w:rsidRPr="00DF3B7C">
          <w:rPr>
            <w:rFonts w:eastAsia="Times New Roman" w:cs="Times New Roman"/>
            <w:color w:val="0000FF"/>
            <w:szCs w:val="24"/>
            <w:u w:val="single"/>
          </w:rPr>
          <w:t>https://www.reuters.com/business/autos-transportation/ev-charging-market-analysis-2024-03-15/</w:t>
        </w:r>
      </w:hyperlink>
      <w:r w:rsidRPr="00705124">
        <w:rPr>
          <w:rFonts w:eastAsia="Times New Roman" w:cs="Times New Roman"/>
          <w:szCs w:val="24"/>
        </w:rPr>
        <w:t xml:space="preserve"> (Accessed: 29 April 2025).</w:t>
      </w:r>
    </w:p>
    <w:p w14:paraId="158BB460" w14:textId="77777777" w:rsidR="00705124" w:rsidRPr="00D67AB6" w:rsidRDefault="00705124" w:rsidP="00AC76BB">
      <w:pPr>
        <w:spacing w:after="0" w:line="480" w:lineRule="auto"/>
        <w:ind w:left="720" w:hanging="720"/>
        <w:rPr>
          <w:rFonts w:eastAsia="Times New Roman" w:cs="Times New Roman"/>
          <w:color w:val="000000" w:themeColor="text1"/>
          <w:szCs w:val="24"/>
        </w:rPr>
      </w:pPr>
      <w:r w:rsidRPr="00D67AB6">
        <w:rPr>
          <w:rFonts w:eastAsia="Times New Roman" w:cs="Times New Roman"/>
          <w:color w:val="000000" w:themeColor="text1"/>
          <w:szCs w:val="24"/>
        </w:rPr>
        <w:t xml:space="preserve">United Nations (2023) </w:t>
      </w:r>
      <w:r w:rsidRPr="00D67AB6">
        <w:rPr>
          <w:rFonts w:eastAsia="Times New Roman" w:cs="Times New Roman"/>
          <w:i/>
          <w:iCs/>
          <w:color w:val="000000" w:themeColor="text1"/>
          <w:szCs w:val="24"/>
        </w:rPr>
        <w:t>The Sustainable Development Goals Report 2023</w:t>
      </w:r>
      <w:r w:rsidRPr="00D67AB6">
        <w:rPr>
          <w:rFonts w:eastAsia="Times New Roman" w:cs="Times New Roman"/>
          <w:color w:val="000000" w:themeColor="text1"/>
          <w:szCs w:val="24"/>
        </w:rPr>
        <w:t xml:space="preserve">. New York: United Nations Publications. Available at: </w:t>
      </w:r>
      <w:hyperlink r:id="rId13" w:history="1">
        <w:r w:rsidRPr="00D67AB6">
          <w:rPr>
            <w:rFonts w:eastAsia="Times New Roman" w:cs="Times New Roman"/>
            <w:color w:val="000000" w:themeColor="text1"/>
            <w:szCs w:val="24"/>
            <w:u w:val="single"/>
          </w:rPr>
          <w:t>https://unstats.un.org/sdgs/report/2023/</w:t>
        </w:r>
      </w:hyperlink>
      <w:r w:rsidRPr="00D67AB6">
        <w:rPr>
          <w:rFonts w:eastAsia="Times New Roman" w:cs="Times New Roman"/>
          <w:color w:val="000000" w:themeColor="text1"/>
          <w:szCs w:val="24"/>
        </w:rPr>
        <w:t xml:space="preserve"> (Accessed: 29 April 2025).</w:t>
      </w:r>
    </w:p>
    <w:p w14:paraId="2B937435" w14:textId="77777777" w:rsidR="00705124" w:rsidRPr="00705124" w:rsidRDefault="00705124" w:rsidP="00AC76BB">
      <w:pPr>
        <w:spacing w:after="0" w:line="480" w:lineRule="auto"/>
        <w:ind w:left="720" w:hanging="720"/>
        <w:rPr>
          <w:rFonts w:eastAsia="Times New Roman" w:cs="Times New Roman"/>
          <w:szCs w:val="24"/>
        </w:rPr>
      </w:pPr>
      <w:r w:rsidRPr="00705124">
        <w:rPr>
          <w:rFonts w:eastAsia="Times New Roman" w:cs="Times New Roman"/>
          <w:szCs w:val="24"/>
        </w:rPr>
        <w:t xml:space="preserve">Wood Mackenzie (2024) </w:t>
      </w:r>
      <w:r w:rsidRPr="00DF3B7C">
        <w:rPr>
          <w:rFonts w:eastAsia="Times New Roman" w:cs="Times New Roman"/>
          <w:i/>
          <w:iCs/>
          <w:szCs w:val="24"/>
        </w:rPr>
        <w:t>Global Downstream Outlook: Navigating the energy transition</w:t>
      </w:r>
      <w:r w:rsidRPr="00705124">
        <w:rPr>
          <w:rFonts w:eastAsia="Times New Roman" w:cs="Times New Roman"/>
          <w:szCs w:val="24"/>
        </w:rPr>
        <w:t xml:space="preserve">. Edinburgh: Wood Mackenzie Research. Available at: </w:t>
      </w:r>
      <w:hyperlink r:id="rId14" w:history="1">
        <w:r w:rsidRPr="00DF3B7C">
          <w:rPr>
            <w:rFonts w:eastAsia="Times New Roman" w:cs="Times New Roman"/>
            <w:color w:val="0000FF"/>
            <w:szCs w:val="24"/>
            <w:u w:val="single"/>
          </w:rPr>
          <w:t>https://www.woodmac.com/reports/downstream-oil-global-downstream-outlook-2024-550321</w:t>
        </w:r>
      </w:hyperlink>
      <w:r w:rsidRPr="00705124">
        <w:rPr>
          <w:rFonts w:eastAsia="Times New Roman" w:cs="Times New Roman"/>
          <w:szCs w:val="24"/>
        </w:rPr>
        <w:t xml:space="preserve"> (Accessed: 28 April 2025).</w:t>
      </w:r>
    </w:p>
    <w:p w14:paraId="52DDEAF9" w14:textId="77777777" w:rsidR="00705124" w:rsidRPr="00705124" w:rsidRDefault="00705124" w:rsidP="00AC76BB">
      <w:pPr>
        <w:spacing w:after="0" w:line="480" w:lineRule="auto"/>
        <w:ind w:left="720" w:hanging="720"/>
        <w:rPr>
          <w:rFonts w:eastAsia="Times New Roman" w:cs="Times New Roman"/>
          <w:szCs w:val="24"/>
        </w:rPr>
      </w:pPr>
    </w:p>
    <w:p w14:paraId="268C2481" w14:textId="77777777" w:rsidR="008B7D4C" w:rsidRPr="00DF3B7C" w:rsidRDefault="008B7D4C" w:rsidP="00AC76BB">
      <w:pPr>
        <w:spacing w:after="0" w:line="480" w:lineRule="auto"/>
        <w:ind w:left="720" w:hanging="720"/>
        <w:rPr>
          <w:rFonts w:cs="Times New Roman"/>
          <w:szCs w:val="24"/>
        </w:rPr>
      </w:pPr>
    </w:p>
    <w:sectPr w:rsidR="008B7D4C" w:rsidRPr="00DF3B7C">
      <w:head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BF436" w14:textId="77777777" w:rsidR="003215F7" w:rsidRDefault="003215F7" w:rsidP="000217CC">
      <w:pPr>
        <w:spacing w:after="0" w:line="240" w:lineRule="auto"/>
      </w:pPr>
      <w:r>
        <w:separator/>
      </w:r>
    </w:p>
  </w:endnote>
  <w:endnote w:type="continuationSeparator" w:id="0">
    <w:p w14:paraId="4C529825" w14:textId="77777777" w:rsidR="003215F7" w:rsidRDefault="003215F7" w:rsidP="000217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A6063" w14:textId="77777777" w:rsidR="003215F7" w:rsidRDefault="003215F7" w:rsidP="000217CC">
      <w:pPr>
        <w:spacing w:after="0" w:line="240" w:lineRule="auto"/>
      </w:pPr>
      <w:r>
        <w:separator/>
      </w:r>
    </w:p>
  </w:footnote>
  <w:footnote w:type="continuationSeparator" w:id="0">
    <w:p w14:paraId="1D29FEC8" w14:textId="77777777" w:rsidR="003215F7" w:rsidRDefault="003215F7" w:rsidP="000217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58287"/>
      <w:docPartObj>
        <w:docPartGallery w:val="Page Numbers (Top of Page)"/>
        <w:docPartUnique/>
      </w:docPartObj>
    </w:sdtPr>
    <w:sdtEndPr>
      <w:rPr>
        <w:noProof/>
      </w:rPr>
    </w:sdtEndPr>
    <w:sdtContent>
      <w:p w14:paraId="71BDC192" w14:textId="77777777" w:rsidR="000217CC" w:rsidRDefault="000217CC">
        <w:pPr>
          <w:pStyle w:val="Header"/>
          <w:jc w:val="right"/>
        </w:pPr>
        <w:r>
          <w:fldChar w:fldCharType="begin"/>
        </w:r>
        <w:r>
          <w:instrText xml:space="preserve"> PAGE   \* MERGEFORMAT </w:instrText>
        </w:r>
        <w:r>
          <w:fldChar w:fldCharType="separate"/>
        </w:r>
        <w:r w:rsidR="00DF3B7C">
          <w:rPr>
            <w:noProof/>
          </w:rPr>
          <w:t>4</w:t>
        </w:r>
        <w:r>
          <w:rPr>
            <w:noProof/>
          </w:rPr>
          <w:fldChar w:fldCharType="end"/>
        </w:r>
      </w:p>
    </w:sdtContent>
  </w:sdt>
  <w:p w14:paraId="17B7ECB6" w14:textId="77777777" w:rsidR="000217CC" w:rsidRDefault="000217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C4CDB"/>
    <w:multiLevelType w:val="multilevel"/>
    <w:tmpl w:val="7892E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70515B"/>
    <w:multiLevelType w:val="multilevel"/>
    <w:tmpl w:val="8AE03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E51126"/>
    <w:multiLevelType w:val="multilevel"/>
    <w:tmpl w:val="33D4C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8C607B"/>
    <w:multiLevelType w:val="multilevel"/>
    <w:tmpl w:val="3B56B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F961BA"/>
    <w:multiLevelType w:val="multilevel"/>
    <w:tmpl w:val="E0DCF5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F350354"/>
    <w:multiLevelType w:val="multilevel"/>
    <w:tmpl w:val="9732D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BD6DFA"/>
    <w:multiLevelType w:val="multilevel"/>
    <w:tmpl w:val="CF326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CC5DBE"/>
    <w:multiLevelType w:val="multilevel"/>
    <w:tmpl w:val="06961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E06F06"/>
    <w:multiLevelType w:val="multilevel"/>
    <w:tmpl w:val="F08A7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85E7F60"/>
    <w:multiLevelType w:val="multilevel"/>
    <w:tmpl w:val="97F4F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FCD329C"/>
    <w:multiLevelType w:val="multilevel"/>
    <w:tmpl w:val="834A45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2BD4A58"/>
    <w:multiLevelType w:val="multilevel"/>
    <w:tmpl w:val="87A41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736462C"/>
    <w:multiLevelType w:val="multilevel"/>
    <w:tmpl w:val="7A0482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40F442D"/>
    <w:multiLevelType w:val="multilevel"/>
    <w:tmpl w:val="6A12A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72E0251"/>
    <w:multiLevelType w:val="multilevel"/>
    <w:tmpl w:val="341A5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F053046"/>
    <w:multiLevelType w:val="multilevel"/>
    <w:tmpl w:val="7A686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29065760">
    <w:abstractNumId w:val="1"/>
  </w:num>
  <w:num w:numId="2" w16cid:durableId="805583004">
    <w:abstractNumId w:val="0"/>
  </w:num>
  <w:num w:numId="3" w16cid:durableId="744641761">
    <w:abstractNumId w:val="13"/>
  </w:num>
  <w:num w:numId="4" w16cid:durableId="27923607">
    <w:abstractNumId w:val="11"/>
  </w:num>
  <w:num w:numId="5" w16cid:durableId="1621109861">
    <w:abstractNumId w:val="14"/>
  </w:num>
  <w:num w:numId="6" w16cid:durableId="1236353890">
    <w:abstractNumId w:val="2"/>
  </w:num>
  <w:num w:numId="7" w16cid:durableId="1859930572">
    <w:abstractNumId w:val="6"/>
  </w:num>
  <w:num w:numId="8" w16cid:durableId="1276061259">
    <w:abstractNumId w:val="8"/>
  </w:num>
  <w:num w:numId="9" w16cid:durableId="703481214">
    <w:abstractNumId w:val="3"/>
  </w:num>
  <w:num w:numId="10" w16cid:durableId="1062018865">
    <w:abstractNumId w:val="9"/>
  </w:num>
  <w:num w:numId="11" w16cid:durableId="1841391404">
    <w:abstractNumId w:val="15"/>
  </w:num>
  <w:num w:numId="12" w16cid:durableId="620260978">
    <w:abstractNumId w:val="5"/>
  </w:num>
  <w:num w:numId="13" w16cid:durableId="679088066">
    <w:abstractNumId w:val="10"/>
  </w:num>
  <w:num w:numId="14" w16cid:durableId="1248924899">
    <w:abstractNumId w:val="4"/>
  </w:num>
  <w:num w:numId="15" w16cid:durableId="1239368628">
    <w:abstractNumId w:val="12"/>
  </w:num>
  <w:num w:numId="16" w16cid:durableId="63479718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124"/>
    <w:rsid w:val="000217CC"/>
    <w:rsid w:val="00034131"/>
    <w:rsid w:val="000B507C"/>
    <w:rsid w:val="000C400F"/>
    <w:rsid w:val="000D1E37"/>
    <w:rsid w:val="00230DA5"/>
    <w:rsid w:val="002F172E"/>
    <w:rsid w:val="00307395"/>
    <w:rsid w:val="00316E4C"/>
    <w:rsid w:val="003215F7"/>
    <w:rsid w:val="003A5619"/>
    <w:rsid w:val="003D723C"/>
    <w:rsid w:val="0041658E"/>
    <w:rsid w:val="00463973"/>
    <w:rsid w:val="0050606C"/>
    <w:rsid w:val="00514046"/>
    <w:rsid w:val="00584C05"/>
    <w:rsid w:val="0059054F"/>
    <w:rsid w:val="005935C1"/>
    <w:rsid w:val="005F221F"/>
    <w:rsid w:val="00665C21"/>
    <w:rsid w:val="00683231"/>
    <w:rsid w:val="00685AE3"/>
    <w:rsid w:val="0069523D"/>
    <w:rsid w:val="006E48AC"/>
    <w:rsid w:val="00705124"/>
    <w:rsid w:val="007E0F15"/>
    <w:rsid w:val="008B7D4C"/>
    <w:rsid w:val="008C20F3"/>
    <w:rsid w:val="009177B4"/>
    <w:rsid w:val="009A1273"/>
    <w:rsid w:val="00AC76BB"/>
    <w:rsid w:val="00D36371"/>
    <w:rsid w:val="00D67AB6"/>
    <w:rsid w:val="00D73D20"/>
    <w:rsid w:val="00DB1464"/>
    <w:rsid w:val="00DD0FA5"/>
    <w:rsid w:val="00DF3B7C"/>
    <w:rsid w:val="00E42B33"/>
    <w:rsid w:val="00E93724"/>
    <w:rsid w:val="00FB51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D452D"/>
  <w15:chartTrackingRefBased/>
  <w15:docId w15:val="{5D0A5363-DD10-4346-ABBC-389A71B5B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231"/>
    <w:rPr>
      <w:rFonts w:ascii="Times New Roman" w:hAnsi="Times New Roman"/>
      <w:sz w:val="24"/>
    </w:rPr>
  </w:style>
  <w:style w:type="paragraph" w:styleId="Heading1">
    <w:name w:val="heading 1"/>
    <w:basedOn w:val="Normal"/>
    <w:next w:val="Normal"/>
    <w:link w:val="Heading1Char"/>
    <w:uiPriority w:val="9"/>
    <w:qFormat/>
    <w:rsid w:val="009177B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705124"/>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link w:val="Heading3Char"/>
    <w:uiPriority w:val="9"/>
    <w:qFormat/>
    <w:rsid w:val="00705124"/>
    <w:pPr>
      <w:spacing w:before="100" w:beforeAutospacing="1" w:after="100" w:afterAutospacing="1" w:line="240" w:lineRule="auto"/>
      <w:outlineLvl w:val="2"/>
    </w:pPr>
    <w:rPr>
      <w:rFonts w:eastAsia="Times New Roman" w:cs="Times New Roman"/>
      <w:b/>
      <w:bCs/>
      <w:sz w:val="27"/>
      <w:szCs w:val="27"/>
    </w:rPr>
  </w:style>
  <w:style w:type="paragraph" w:styleId="Heading4">
    <w:name w:val="heading 4"/>
    <w:basedOn w:val="Normal"/>
    <w:link w:val="Heading4Char"/>
    <w:uiPriority w:val="9"/>
    <w:qFormat/>
    <w:rsid w:val="00705124"/>
    <w:pPr>
      <w:spacing w:before="100" w:beforeAutospacing="1" w:after="100" w:afterAutospacing="1" w:line="240" w:lineRule="auto"/>
      <w:outlineLvl w:val="3"/>
    </w:pPr>
    <w:rPr>
      <w:rFonts w:eastAsia="Times New Roman"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0512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705124"/>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705124"/>
    <w:rPr>
      <w:rFonts w:ascii="Times New Roman" w:eastAsia="Times New Roman" w:hAnsi="Times New Roman" w:cs="Times New Roman"/>
      <w:b/>
      <w:bCs/>
      <w:sz w:val="24"/>
      <w:szCs w:val="24"/>
    </w:rPr>
  </w:style>
  <w:style w:type="character" w:styleId="Strong">
    <w:name w:val="Strong"/>
    <w:basedOn w:val="DefaultParagraphFont"/>
    <w:uiPriority w:val="22"/>
    <w:qFormat/>
    <w:rsid w:val="00705124"/>
    <w:rPr>
      <w:b/>
      <w:bCs/>
    </w:rPr>
  </w:style>
  <w:style w:type="paragraph" w:customStyle="1" w:styleId="font-claude-response-body">
    <w:name w:val="font-claude-response-body"/>
    <w:basedOn w:val="Normal"/>
    <w:rsid w:val="00705124"/>
    <w:pPr>
      <w:spacing w:before="100" w:beforeAutospacing="1" w:after="100" w:afterAutospacing="1" w:line="240" w:lineRule="auto"/>
    </w:pPr>
    <w:rPr>
      <w:rFonts w:eastAsia="Times New Roman" w:cs="Times New Roman"/>
      <w:szCs w:val="24"/>
    </w:rPr>
  </w:style>
  <w:style w:type="character" w:styleId="Emphasis">
    <w:name w:val="Emphasis"/>
    <w:basedOn w:val="DefaultParagraphFont"/>
    <w:uiPriority w:val="20"/>
    <w:qFormat/>
    <w:rsid w:val="00705124"/>
    <w:rPr>
      <w:i/>
      <w:iCs/>
    </w:rPr>
  </w:style>
  <w:style w:type="character" w:styleId="Hyperlink">
    <w:name w:val="Hyperlink"/>
    <w:basedOn w:val="DefaultParagraphFont"/>
    <w:uiPriority w:val="99"/>
    <w:unhideWhenUsed/>
    <w:rsid w:val="00705124"/>
    <w:rPr>
      <w:color w:val="0000FF"/>
      <w:u w:val="single"/>
    </w:rPr>
  </w:style>
  <w:style w:type="character" w:customStyle="1" w:styleId="Heading1Char">
    <w:name w:val="Heading 1 Char"/>
    <w:basedOn w:val="DefaultParagraphFont"/>
    <w:link w:val="Heading1"/>
    <w:uiPriority w:val="9"/>
    <w:rsid w:val="009177B4"/>
    <w:rPr>
      <w:rFonts w:asciiTheme="majorHAnsi" w:eastAsiaTheme="majorEastAsia" w:hAnsiTheme="majorHAnsi" w:cstheme="majorBidi"/>
      <w:color w:val="2E74B5" w:themeColor="accent1" w:themeShade="BF"/>
      <w:sz w:val="32"/>
      <w:szCs w:val="32"/>
    </w:rPr>
  </w:style>
  <w:style w:type="paragraph" w:styleId="NormalWeb">
    <w:name w:val="Normal (Web)"/>
    <w:basedOn w:val="Normal"/>
    <w:uiPriority w:val="99"/>
    <w:unhideWhenUsed/>
    <w:rsid w:val="009177B4"/>
    <w:pPr>
      <w:spacing w:before="100" w:beforeAutospacing="1" w:after="100" w:afterAutospacing="1" w:line="240" w:lineRule="auto"/>
    </w:pPr>
    <w:rPr>
      <w:rFonts w:eastAsia="Times New Roman" w:cs="Times New Roman"/>
      <w:szCs w:val="24"/>
    </w:rPr>
  </w:style>
  <w:style w:type="paragraph" w:styleId="Header">
    <w:name w:val="header"/>
    <w:basedOn w:val="Normal"/>
    <w:link w:val="HeaderChar"/>
    <w:uiPriority w:val="99"/>
    <w:unhideWhenUsed/>
    <w:rsid w:val="000217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17CC"/>
    <w:rPr>
      <w:rFonts w:ascii="Times New Roman" w:hAnsi="Times New Roman"/>
      <w:sz w:val="24"/>
    </w:rPr>
  </w:style>
  <w:style w:type="paragraph" w:styleId="Footer">
    <w:name w:val="footer"/>
    <w:basedOn w:val="Normal"/>
    <w:link w:val="FooterChar"/>
    <w:uiPriority w:val="99"/>
    <w:unhideWhenUsed/>
    <w:rsid w:val="000217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17CC"/>
    <w:rPr>
      <w:rFonts w:ascii="Times New Roman" w:hAnsi="Times New Roman"/>
      <w:sz w:val="24"/>
    </w:rPr>
  </w:style>
  <w:style w:type="paragraph" w:styleId="Bibliography">
    <w:name w:val="Bibliography"/>
    <w:basedOn w:val="Normal"/>
    <w:next w:val="Normal"/>
    <w:uiPriority w:val="37"/>
    <w:unhideWhenUsed/>
    <w:rsid w:val="00DF3B7C"/>
    <w:pPr>
      <w:spacing w:after="240" w:line="240" w:lineRule="auto"/>
    </w:pPr>
  </w:style>
  <w:style w:type="character" w:styleId="CommentReference">
    <w:name w:val="annotation reference"/>
    <w:basedOn w:val="DefaultParagraphFont"/>
    <w:uiPriority w:val="99"/>
    <w:semiHidden/>
    <w:unhideWhenUsed/>
    <w:rsid w:val="00D36371"/>
    <w:rPr>
      <w:sz w:val="16"/>
      <w:szCs w:val="16"/>
    </w:rPr>
  </w:style>
  <w:style w:type="paragraph" w:styleId="CommentText">
    <w:name w:val="annotation text"/>
    <w:basedOn w:val="Normal"/>
    <w:link w:val="CommentTextChar"/>
    <w:uiPriority w:val="99"/>
    <w:unhideWhenUsed/>
    <w:rsid w:val="00D36371"/>
    <w:pPr>
      <w:spacing w:line="240" w:lineRule="auto"/>
    </w:pPr>
    <w:rPr>
      <w:sz w:val="20"/>
      <w:szCs w:val="20"/>
    </w:rPr>
  </w:style>
  <w:style w:type="character" w:customStyle="1" w:styleId="CommentTextChar">
    <w:name w:val="Comment Text Char"/>
    <w:basedOn w:val="DefaultParagraphFont"/>
    <w:link w:val="CommentText"/>
    <w:uiPriority w:val="99"/>
    <w:rsid w:val="00D36371"/>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36371"/>
    <w:rPr>
      <w:b/>
      <w:bCs/>
    </w:rPr>
  </w:style>
  <w:style w:type="character" w:customStyle="1" w:styleId="CommentSubjectChar">
    <w:name w:val="Comment Subject Char"/>
    <w:basedOn w:val="CommentTextChar"/>
    <w:link w:val="CommentSubject"/>
    <w:uiPriority w:val="99"/>
    <w:semiHidden/>
    <w:rsid w:val="00D36371"/>
    <w:rPr>
      <w:rFonts w:ascii="Times New Roman" w:hAnsi="Times New Roman"/>
      <w:b/>
      <w:bCs/>
      <w:sz w:val="20"/>
      <w:szCs w:val="20"/>
    </w:rPr>
  </w:style>
  <w:style w:type="character" w:styleId="UnresolvedMention">
    <w:name w:val="Unresolved Mention"/>
    <w:basedOn w:val="DefaultParagraphFont"/>
    <w:uiPriority w:val="99"/>
    <w:semiHidden/>
    <w:unhideWhenUsed/>
    <w:rsid w:val="00E42B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4755">
      <w:bodyDiv w:val="1"/>
      <w:marLeft w:val="0"/>
      <w:marRight w:val="0"/>
      <w:marTop w:val="0"/>
      <w:marBottom w:val="0"/>
      <w:divBdr>
        <w:top w:val="none" w:sz="0" w:space="0" w:color="auto"/>
        <w:left w:val="none" w:sz="0" w:space="0" w:color="auto"/>
        <w:bottom w:val="none" w:sz="0" w:space="0" w:color="auto"/>
        <w:right w:val="none" w:sz="0" w:space="0" w:color="auto"/>
      </w:divBdr>
      <w:divsChild>
        <w:div w:id="1868517775">
          <w:marLeft w:val="0"/>
          <w:marRight w:val="0"/>
          <w:marTop w:val="120"/>
          <w:marBottom w:val="120"/>
          <w:divBdr>
            <w:top w:val="none" w:sz="0" w:space="0" w:color="auto"/>
            <w:left w:val="none" w:sz="0" w:space="0" w:color="auto"/>
            <w:bottom w:val="none" w:sz="0" w:space="0" w:color="auto"/>
            <w:right w:val="none" w:sz="0" w:space="0" w:color="auto"/>
          </w:divBdr>
        </w:div>
      </w:divsChild>
    </w:div>
    <w:div w:id="58791585">
      <w:bodyDiv w:val="1"/>
      <w:marLeft w:val="0"/>
      <w:marRight w:val="0"/>
      <w:marTop w:val="0"/>
      <w:marBottom w:val="0"/>
      <w:divBdr>
        <w:top w:val="none" w:sz="0" w:space="0" w:color="auto"/>
        <w:left w:val="none" w:sz="0" w:space="0" w:color="auto"/>
        <w:bottom w:val="none" w:sz="0" w:space="0" w:color="auto"/>
        <w:right w:val="none" w:sz="0" w:space="0" w:color="auto"/>
      </w:divBdr>
      <w:divsChild>
        <w:div w:id="314920895">
          <w:marLeft w:val="0"/>
          <w:marRight w:val="0"/>
          <w:marTop w:val="120"/>
          <w:marBottom w:val="120"/>
          <w:divBdr>
            <w:top w:val="none" w:sz="0" w:space="0" w:color="auto"/>
            <w:left w:val="none" w:sz="0" w:space="0" w:color="auto"/>
            <w:bottom w:val="none" w:sz="0" w:space="0" w:color="auto"/>
            <w:right w:val="none" w:sz="0" w:space="0" w:color="auto"/>
          </w:divBdr>
        </w:div>
      </w:divsChild>
    </w:div>
    <w:div w:id="102770009">
      <w:bodyDiv w:val="1"/>
      <w:marLeft w:val="0"/>
      <w:marRight w:val="0"/>
      <w:marTop w:val="0"/>
      <w:marBottom w:val="0"/>
      <w:divBdr>
        <w:top w:val="none" w:sz="0" w:space="0" w:color="auto"/>
        <w:left w:val="none" w:sz="0" w:space="0" w:color="auto"/>
        <w:bottom w:val="none" w:sz="0" w:space="0" w:color="auto"/>
        <w:right w:val="none" w:sz="0" w:space="0" w:color="auto"/>
      </w:divBdr>
      <w:divsChild>
        <w:div w:id="638537330">
          <w:marLeft w:val="0"/>
          <w:marRight w:val="0"/>
          <w:marTop w:val="120"/>
          <w:marBottom w:val="120"/>
          <w:divBdr>
            <w:top w:val="none" w:sz="0" w:space="0" w:color="auto"/>
            <w:left w:val="none" w:sz="0" w:space="0" w:color="auto"/>
            <w:bottom w:val="none" w:sz="0" w:space="0" w:color="auto"/>
            <w:right w:val="none" w:sz="0" w:space="0" w:color="auto"/>
          </w:divBdr>
        </w:div>
      </w:divsChild>
    </w:div>
    <w:div w:id="186606049">
      <w:bodyDiv w:val="1"/>
      <w:marLeft w:val="0"/>
      <w:marRight w:val="0"/>
      <w:marTop w:val="0"/>
      <w:marBottom w:val="0"/>
      <w:divBdr>
        <w:top w:val="none" w:sz="0" w:space="0" w:color="auto"/>
        <w:left w:val="none" w:sz="0" w:space="0" w:color="auto"/>
        <w:bottom w:val="none" w:sz="0" w:space="0" w:color="auto"/>
        <w:right w:val="none" w:sz="0" w:space="0" w:color="auto"/>
      </w:divBdr>
    </w:div>
    <w:div w:id="209388048">
      <w:bodyDiv w:val="1"/>
      <w:marLeft w:val="0"/>
      <w:marRight w:val="0"/>
      <w:marTop w:val="0"/>
      <w:marBottom w:val="0"/>
      <w:divBdr>
        <w:top w:val="none" w:sz="0" w:space="0" w:color="auto"/>
        <w:left w:val="none" w:sz="0" w:space="0" w:color="auto"/>
        <w:bottom w:val="none" w:sz="0" w:space="0" w:color="auto"/>
        <w:right w:val="none" w:sz="0" w:space="0" w:color="auto"/>
      </w:divBdr>
    </w:div>
    <w:div w:id="412239794">
      <w:bodyDiv w:val="1"/>
      <w:marLeft w:val="0"/>
      <w:marRight w:val="0"/>
      <w:marTop w:val="0"/>
      <w:marBottom w:val="0"/>
      <w:divBdr>
        <w:top w:val="none" w:sz="0" w:space="0" w:color="auto"/>
        <w:left w:val="none" w:sz="0" w:space="0" w:color="auto"/>
        <w:bottom w:val="none" w:sz="0" w:space="0" w:color="auto"/>
        <w:right w:val="none" w:sz="0" w:space="0" w:color="auto"/>
      </w:divBdr>
    </w:div>
    <w:div w:id="423956511">
      <w:bodyDiv w:val="1"/>
      <w:marLeft w:val="0"/>
      <w:marRight w:val="0"/>
      <w:marTop w:val="0"/>
      <w:marBottom w:val="0"/>
      <w:divBdr>
        <w:top w:val="none" w:sz="0" w:space="0" w:color="auto"/>
        <w:left w:val="none" w:sz="0" w:space="0" w:color="auto"/>
        <w:bottom w:val="none" w:sz="0" w:space="0" w:color="auto"/>
        <w:right w:val="none" w:sz="0" w:space="0" w:color="auto"/>
      </w:divBdr>
      <w:divsChild>
        <w:div w:id="654996602">
          <w:marLeft w:val="0"/>
          <w:marRight w:val="0"/>
          <w:marTop w:val="120"/>
          <w:marBottom w:val="120"/>
          <w:divBdr>
            <w:top w:val="none" w:sz="0" w:space="0" w:color="auto"/>
            <w:left w:val="none" w:sz="0" w:space="0" w:color="auto"/>
            <w:bottom w:val="none" w:sz="0" w:space="0" w:color="auto"/>
            <w:right w:val="none" w:sz="0" w:space="0" w:color="auto"/>
          </w:divBdr>
        </w:div>
      </w:divsChild>
    </w:div>
    <w:div w:id="494801816">
      <w:bodyDiv w:val="1"/>
      <w:marLeft w:val="0"/>
      <w:marRight w:val="0"/>
      <w:marTop w:val="0"/>
      <w:marBottom w:val="0"/>
      <w:divBdr>
        <w:top w:val="none" w:sz="0" w:space="0" w:color="auto"/>
        <w:left w:val="none" w:sz="0" w:space="0" w:color="auto"/>
        <w:bottom w:val="none" w:sz="0" w:space="0" w:color="auto"/>
        <w:right w:val="none" w:sz="0" w:space="0" w:color="auto"/>
      </w:divBdr>
    </w:div>
    <w:div w:id="502822215">
      <w:bodyDiv w:val="1"/>
      <w:marLeft w:val="0"/>
      <w:marRight w:val="0"/>
      <w:marTop w:val="0"/>
      <w:marBottom w:val="0"/>
      <w:divBdr>
        <w:top w:val="none" w:sz="0" w:space="0" w:color="auto"/>
        <w:left w:val="none" w:sz="0" w:space="0" w:color="auto"/>
        <w:bottom w:val="none" w:sz="0" w:space="0" w:color="auto"/>
        <w:right w:val="none" w:sz="0" w:space="0" w:color="auto"/>
      </w:divBdr>
      <w:divsChild>
        <w:div w:id="1586190183">
          <w:marLeft w:val="0"/>
          <w:marRight w:val="0"/>
          <w:marTop w:val="120"/>
          <w:marBottom w:val="120"/>
          <w:divBdr>
            <w:top w:val="none" w:sz="0" w:space="0" w:color="auto"/>
            <w:left w:val="none" w:sz="0" w:space="0" w:color="auto"/>
            <w:bottom w:val="none" w:sz="0" w:space="0" w:color="auto"/>
            <w:right w:val="none" w:sz="0" w:space="0" w:color="auto"/>
          </w:divBdr>
        </w:div>
      </w:divsChild>
    </w:div>
    <w:div w:id="579213769">
      <w:bodyDiv w:val="1"/>
      <w:marLeft w:val="0"/>
      <w:marRight w:val="0"/>
      <w:marTop w:val="0"/>
      <w:marBottom w:val="0"/>
      <w:divBdr>
        <w:top w:val="none" w:sz="0" w:space="0" w:color="auto"/>
        <w:left w:val="none" w:sz="0" w:space="0" w:color="auto"/>
        <w:bottom w:val="none" w:sz="0" w:space="0" w:color="auto"/>
        <w:right w:val="none" w:sz="0" w:space="0" w:color="auto"/>
      </w:divBdr>
    </w:div>
    <w:div w:id="801927345">
      <w:bodyDiv w:val="1"/>
      <w:marLeft w:val="0"/>
      <w:marRight w:val="0"/>
      <w:marTop w:val="0"/>
      <w:marBottom w:val="0"/>
      <w:divBdr>
        <w:top w:val="none" w:sz="0" w:space="0" w:color="auto"/>
        <w:left w:val="none" w:sz="0" w:space="0" w:color="auto"/>
        <w:bottom w:val="none" w:sz="0" w:space="0" w:color="auto"/>
        <w:right w:val="none" w:sz="0" w:space="0" w:color="auto"/>
      </w:divBdr>
    </w:div>
    <w:div w:id="821192547">
      <w:bodyDiv w:val="1"/>
      <w:marLeft w:val="0"/>
      <w:marRight w:val="0"/>
      <w:marTop w:val="0"/>
      <w:marBottom w:val="0"/>
      <w:divBdr>
        <w:top w:val="none" w:sz="0" w:space="0" w:color="auto"/>
        <w:left w:val="none" w:sz="0" w:space="0" w:color="auto"/>
        <w:bottom w:val="none" w:sz="0" w:space="0" w:color="auto"/>
        <w:right w:val="none" w:sz="0" w:space="0" w:color="auto"/>
      </w:divBdr>
      <w:divsChild>
        <w:div w:id="1060515921">
          <w:marLeft w:val="0"/>
          <w:marRight w:val="0"/>
          <w:marTop w:val="120"/>
          <w:marBottom w:val="120"/>
          <w:divBdr>
            <w:top w:val="none" w:sz="0" w:space="0" w:color="auto"/>
            <w:left w:val="none" w:sz="0" w:space="0" w:color="auto"/>
            <w:bottom w:val="none" w:sz="0" w:space="0" w:color="auto"/>
            <w:right w:val="none" w:sz="0" w:space="0" w:color="auto"/>
          </w:divBdr>
        </w:div>
      </w:divsChild>
    </w:div>
    <w:div w:id="842823522">
      <w:bodyDiv w:val="1"/>
      <w:marLeft w:val="0"/>
      <w:marRight w:val="0"/>
      <w:marTop w:val="0"/>
      <w:marBottom w:val="0"/>
      <w:divBdr>
        <w:top w:val="none" w:sz="0" w:space="0" w:color="auto"/>
        <w:left w:val="none" w:sz="0" w:space="0" w:color="auto"/>
        <w:bottom w:val="none" w:sz="0" w:space="0" w:color="auto"/>
        <w:right w:val="none" w:sz="0" w:space="0" w:color="auto"/>
      </w:divBdr>
      <w:divsChild>
        <w:div w:id="1370761457">
          <w:marLeft w:val="0"/>
          <w:marRight w:val="0"/>
          <w:marTop w:val="120"/>
          <w:marBottom w:val="120"/>
          <w:divBdr>
            <w:top w:val="none" w:sz="0" w:space="0" w:color="auto"/>
            <w:left w:val="none" w:sz="0" w:space="0" w:color="auto"/>
            <w:bottom w:val="none" w:sz="0" w:space="0" w:color="auto"/>
            <w:right w:val="none" w:sz="0" w:space="0" w:color="auto"/>
          </w:divBdr>
        </w:div>
      </w:divsChild>
    </w:div>
    <w:div w:id="897284904">
      <w:bodyDiv w:val="1"/>
      <w:marLeft w:val="0"/>
      <w:marRight w:val="0"/>
      <w:marTop w:val="0"/>
      <w:marBottom w:val="0"/>
      <w:divBdr>
        <w:top w:val="none" w:sz="0" w:space="0" w:color="auto"/>
        <w:left w:val="none" w:sz="0" w:space="0" w:color="auto"/>
        <w:bottom w:val="none" w:sz="0" w:space="0" w:color="auto"/>
        <w:right w:val="none" w:sz="0" w:space="0" w:color="auto"/>
      </w:divBdr>
      <w:divsChild>
        <w:div w:id="513346849">
          <w:marLeft w:val="0"/>
          <w:marRight w:val="0"/>
          <w:marTop w:val="120"/>
          <w:marBottom w:val="120"/>
          <w:divBdr>
            <w:top w:val="none" w:sz="0" w:space="0" w:color="auto"/>
            <w:left w:val="none" w:sz="0" w:space="0" w:color="auto"/>
            <w:bottom w:val="none" w:sz="0" w:space="0" w:color="auto"/>
            <w:right w:val="none" w:sz="0" w:space="0" w:color="auto"/>
          </w:divBdr>
        </w:div>
      </w:divsChild>
    </w:div>
    <w:div w:id="928006117">
      <w:bodyDiv w:val="1"/>
      <w:marLeft w:val="0"/>
      <w:marRight w:val="0"/>
      <w:marTop w:val="0"/>
      <w:marBottom w:val="0"/>
      <w:divBdr>
        <w:top w:val="none" w:sz="0" w:space="0" w:color="auto"/>
        <w:left w:val="none" w:sz="0" w:space="0" w:color="auto"/>
        <w:bottom w:val="none" w:sz="0" w:space="0" w:color="auto"/>
        <w:right w:val="none" w:sz="0" w:space="0" w:color="auto"/>
      </w:divBdr>
    </w:div>
    <w:div w:id="969435532">
      <w:bodyDiv w:val="1"/>
      <w:marLeft w:val="0"/>
      <w:marRight w:val="0"/>
      <w:marTop w:val="0"/>
      <w:marBottom w:val="0"/>
      <w:divBdr>
        <w:top w:val="none" w:sz="0" w:space="0" w:color="auto"/>
        <w:left w:val="none" w:sz="0" w:space="0" w:color="auto"/>
        <w:bottom w:val="none" w:sz="0" w:space="0" w:color="auto"/>
        <w:right w:val="none" w:sz="0" w:space="0" w:color="auto"/>
      </w:divBdr>
      <w:divsChild>
        <w:div w:id="1900746695">
          <w:marLeft w:val="0"/>
          <w:marRight w:val="0"/>
          <w:marTop w:val="120"/>
          <w:marBottom w:val="120"/>
          <w:divBdr>
            <w:top w:val="none" w:sz="0" w:space="0" w:color="auto"/>
            <w:left w:val="none" w:sz="0" w:space="0" w:color="auto"/>
            <w:bottom w:val="none" w:sz="0" w:space="0" w:color="auto"/>
            <w:right w:val="none" w:sz="0" w:space="0" w:color="auto"/>
          </w:divBdr>
        </w:div>
      </w:divsChild>
    </w:div>
    <w:div w:id="1071007624">
      <w:bodyDiv w:val="1"/>
      <w:marLeft w:val="0"/>
      <w:marRight w:val="0"/>
      <w:marTop w:val="0"/>
      <w:marBottom w:val="0"/>
      <w:divBdr>
        <w:top w:val="none" w:sz="0" w:space="0" w:color="auto"/>
        <w:left w:val="none" w:sz="0" w:space="0" w:color="auto"/>
        <w:bottom w:val="none" w:sz="0" w:space="0" w:color="auto"/>
        <w:right w:val="none" w:sz="0" w:space="0" w:color="auto"/>
      </w:divBdr>
      <w:divsChild>
        <w:div w:id="1419445250">
          <w:marLeft w:val="0"/>
          <w:marRight w:val="0"/>
          <w:marTop w:val="120"/>
          <w:marBottom w:val="120"/>
          <w:divBdr>
            <w:top w:val="none" w:sz="0" w:space="0" w:color="auto"/>
            <w:left w:val="none" w:sz="0" w:space="0" w:color="auto"/>
            <w:bottom w:val="none" w:sz="0" w:space="0" w:color="auto"/>
            <w:right w:val="none" w:sz="0" w:space="0" w:color="auto"/>
          </w:divBdr>
        </w:div>
      </w:divsChild>
    </w:div>
    <w:div w:id="1224028530">
      <w:bodyDiv w:val="1"/>
      <w:marLeft w:val="0"/>
      <w:marRight w:val="0"/>
      <w:marTop w:val="0"/>
      <w:marBottom w:val="0"/>
      <w:divBdr>
        <w:top w:val="none" w:sz="0" w:space="0" w:color="auto"/>
        <w:left w:val="none" w:sz="0" w:space="0" w:color="auto"/>
        <w:bottom w:val="none" w:sz="0" w:space="0" w:color="auto"/>
        <w:right w:val="none" w:sz="0" w:space="0" w:color="auto"/>
      </w:divBdr>
      <w:divsChild>
        <w:div w:id="914359114">
          <w:marLeft w:val="0"/>
          <w:marRight w:val="0"/>
          <w:marTop w:val="120"/>
          <w:marBottom w:val="120"/>
          <w:divBdr>
            <w:top w:val="none" w:sz="0" w:space="0" w:color="auto"/>
            <w:left w:val="none" w:sz="0" w:space="0" w:color="auto"/>
            <w:bottom w:val="none" w:sz="0" w:space="0" w:color="auto"/>
            <w:right w:val="none" w:sz="0" w:space="0" w:color="auto"/>
          </w:divBdr>
        </w:div>
      </w:divsChild>
    </w:div>
    <w:div w:id="1356736209">
      <w:bodyDiv w:val="1"/>
      <w:marLeft w:val="0"/>
      <w:marRight w:val="0"/>
      <w:marTop w:val="0"/>
      <w:marBottom w:val="0"/>
      <w:divBdr>
        <w:top w:val="none" w:sz="0" w:space="0" w:color="auto"/>
        <w:left w:val="none" w:sz="0" w:space="0" w:color="auto"/>
        <w:bottom w:val="none" w:sz="0" w:space="0" w:color="auto"/>
        <w:right w:val="none" w:sz="0" w:space="0" w:color="auto"/>
      </w:divBdr>
    </w:div>
    <w:div w:id="1381130477">
      <w:bodyDiv w:val="1"/>
      <w:marLeft w:val="0"/>
      <w:marRight w:val="0"/>
      <w:marTop w:val="0"/>
      <w:marBottom w:val="0"/>
      <w:divBdr>
        <w:top w:val="none" w:sz="0" w:space="0" w:color="auto"/>
        <w:left w:val="none" w:sz="0" w:space="0" w:color="auto"/>
        <w:bottom w:val="none" w:sz="0" w:space="0" w:color="auto"/>
        <w:right w:val="none" w:sz="0" w:space="0" w:color="auto"/>
      </w:divBdr>
      <w:divsChild>
        <w:div w:id="803354049">
          <w:marLeft w:val="0"/>
          <w:marRight w:val="0"/>
          <w:marTop w:val="120"/>
          <w:marBottom w:val="120"/>
          <w:divBdr>
            <w:top w:val="none" w:sz="0" w:space="0" w:color="auto"/>
            <w:left w:val="none" w:sz="0" w:space="0" w:color="auto"/>
            <w:bottom w:val="none" w:sz="0" w:space="0" w:color="auto"/>
            <w:right w:val="none" w:sz="0" w:space="0" w:color="auto"/>
          </w:divBdr>
        </w:div>
      </w:divsChild>
    </w:div>
    <w:div w:id="1492411271">
      <w:bodyDiv w:val="1"/>
      <w:marLeft w:val="0"/>
      <w:marRight w:val="0"/>
      <w:marTop w:val="0"/>
      <w:marBottom w:val="0"/>
      <w:divBdr>
        <w:top w:val="none" w:sz="0" w:space="0" w:color="auto"/>
        <w:left w:val="none" w:sz="0" w:space="0" w:color="auto"/>
        <w:bottom w:val="none" w:sz="0" w:space="0" w:color="auto"/>
        <w:right w:val="none" w:sz="0" w:space="0" w:color="auto"/>
      </w:divBdr>
    </w:div>
    <w:div w:id="1561552129">
      <w:bodyDiv w:val="1"/>
      <w:marLeft w:val="0"/>
      <w:marRight w:val="0"/>
      <w:marTop w:val="0"/>
      <w:marBottom w:val="0"/>
      <w:divBdr>
        <w:top w:val="none" w:sz="0" w:space="0" w:color="auto"/>
        <w:left w:val="none" w:sz="0" w:space="0" w:color="auto"/>
        <w:bottom w:val="none" w:sz="0" w:space="0" w:color="auto"/>
        <w:right w:val="none" w:sz="0" w:space="0" w:color="auto"/>
      </w:divBdr>
    </w:div>
    <w:div w:id="1600790986">
      <w:bodyDiv w:val="1"/>
      <w:marLeft w:val="0"/>
      <w:marRight w:val="0"/>
      <w:marTop w:val="0"/>
      <w:marBottom w:val="0"/>
      <w:divBdr>
        <w:top w:val="none" w:sz="0" w:space="0" w:color="auto"/>
        <w:left w:val="none" w:sz="0" w:space="0" w:color="auto"/>
        <w:bottom w:val="none" w:sz="0" w:space="0" w:color="auto"/>
        <w:right w:val="none" w:sz="0" w:space="0" w:color="auto"/>
      </w:divBdr>
    </w:div>
    <w:div w:id="1636256736">
      <w:bodyDiv w:val="1"/>
      <w:marLeft w:val="0"/>
      <w:marRight w:val="0"/>
      <w:marTop w:val="0"/>
      <w:marBottom w:val="0"/>
      <w:divBdr>
        <w:top w:val="none" w:sz="0" w:space="0" w:color="auto"/>
        <w:left w:val="none" w:sz="0" w:space="0" w:color="auto"/>
        <w:bottom w:val="none" w:sz="0" w:space="0" w:color="auto"/>
        <w:right w:val="none" w:sz="0" w:space="0" w:color="auto"/>
      </w:divBdr>
      <w:divsChild>
        <w:div w:id="185797025">
          <w:marLeft w:val="0"/>
          <w:marRight w:val="0"/>
          <w:marTop w:val="0"/>
          <w:marBottom w:val="0"/>
          <w:divBdr>
            <w:top w:val="none" w:sz="0" w:space="0" w:color="auto"/>
            <w:left w:val="none" w:sz="0" w:space="0" w:color="auto"/>
            <w:bottom w:val="none" w:sz="0" w:space="0" w:color="auto"/>
            <w:right w:val="none" w:sz="0" w:space="0" w:color="auto"/>
          </w:divBdr>
          <w:divsChild>
            <w:div w:id="1737893017">
              <w:marLeft w:val="0"/>
              <w:marRight w:val="0"/>
              <w:marTop w:val="0"/>
              <w:marBottom w:val="0"/>
              <w:divBdr>
                <w:top w:val="none" w:sz="0" w:space="0" w:color="auto"/>
                <w:left w:val="none" w:sz="0" w:space="0" w:color="auto"/>
                <w:bottom w:val="none" w:sz="0" w:space="0" w:color="auto"/>
                <w:right w:val="none" w:sz="0" w:space="0" w:color="auto"/>
              </w:divBdr>
              <w:divsChild>
                <w:div w:id="33628538">
                  <w:marLeft w:val="0"/>
                  <w:marRight w:val="0"/>
                  <w:marTop w:val="0"/>
                  <w:marBottom w:val="0"/>
                  <w:divBdr>
                    <w:top w:val="none" w:sz="0" w:space="0" w:color="auto"/>
                    <w:left w:val="none" w:sz="0" w:space="0" w:color="auto"/>
                    <w:bottom w:val="none" w:sz="0" w:space="0" w:color="auto"/>
                    <w:right w:val="none" w:sz="0" w:space="0" w:color="auto"/>
                  </w:divBdr>
                  <w:divsChild>
                    <w:div w:id="739255919">
                      <w:marLeft w:val="0"/>
                      <w:marRight w:val="0"/>
                      <w:marTop w:val="0"/>
                      <w:marBottom w:val="0"/>
                      <w:divBdr>
                        <w:top w:val="none" w:sz="0" w:space="0" w:color="auto"/>
                        <w:left w:val="none" w:sz="0" w:space="0" w:color="auto"/>
                        <w:bottom w:val="none" w:sz="0" w:space="0" w:color="auto"/>
                        <w:right w:val="none" w:sz="0" w:space="0" w:color="auto"/>
                      </w:divBdr>
                      <w:divsChild>
                        <w:div w:id="1340619204">
                          <w:marLeft w:val="0"/>
                          <w:marRight w:val="0"/>
                          <w:marTop w:val="0"/>
                          <w:marBottom w:val="0"/>
                          <w:divBdr>
                            <w:top w:val="none" w:sz="0" w:space="0" w:color="auto"/>
                            <w:left w:val="none" w:sz="0" w:space="0" w:color="auto"/>
                            <w:bottom w:val="none" w:sz="0" w:space="0" w:color="auto"/>
                            <w:right w:val="none" w:sz="0" w:space="0" w:color="auto"/>
                          </w:divBdr>
                          <w:divsChild>
                            <w:div w:id="150825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2581816">
      <w:bodyDiv w:val="1"/>
      <w:marLeft w:val="0"/>
      <w:marRight w:val="0"/>
      <w:marTop w:val="0"/>
      <w:marBottom w:val="0"/>
      <w:divBdr>
        <w:top w:val="none" w:sz="0" w:space="0" w:color="auto"/>
        <w:left w:val="none" w:sz="0" w:space="0" w:color="auto"/>
        <w:bottom w:val="none" w:sz="0" w:space="0" w:color="auto"/>
        <w:right w:val="none" w:sz="0" w:space="0" w:color="auto"/>
      </w:divBdr>
      <w:divsChild>
        <w:div w:id="1600795464">
          <w:marLeft w:val="0"/>
          <w:marRight w:val="0"/>
          <w:marTop w:val="120"/>
          <w:marBottom w:val="120"/>
          <w:divBdr>
            <w:top w:val="none" w:sz="0" w:space="0" w:color="auto"/>
            <w:left w:val="none" w:sz="0" w:space="0" w:color="auto"/>
            <w:bottom w:val="none" w:sz="0" w:space="0" w:color="auto"/>
            <w:right w:val="none" w:sz="0" w:space="0" w:color="auto"/>
          </w:divBdr>
        </w:div>
      </w:divsChild>
    </w:div>
    <w:div w:id="1780831100">
      <w:bodyDiv w:val="1"/>
      <w:marLeft w:val="0"/>
      <w:marRight w:val="0"/>
      <w:marTop w:val="0"/>
      <w:marBottom w:val="0"/>
      <w:divBdr>
        <w:top w:val="none" w:sz="0" w:space="0" w:color="auto"/>
        <w:left w:val="none" w:sz="0" w:space="0" w:color="auto"/>
        <w:bottom w:val="none" w:sz="0" w:space="0" w:color="auto"/>
        <w:right w:val="none" w:sz="0" w:space="0" w:color="auto"/>
      </w:divBdr>
      <w:divsChild>
        <w:div w:id="248734319">
          <w:marLeft w:val="0"/>
          <w:marRight w:val="0"/>
          <w:marTop w:val="120"/>
          <w:marBottom w:val="120"/>
          <w:divBdr>
            <w:top w:val="none" w:sz="0" w:space="0" w:color="auto"/>
            <w:left w:val="none" w:sz="0" w:space="0" w:color="auto"/>
            <w:bottom w:val="none" w:sz="0" w:space="0" w:color="auto"/>
            <w:right w:val="none" w:sz="0" w:space="0" w:color="auto"/>
          </w:divBdr>
        </w:div>
      </w:divsChild>
    </w:div>
    <w:div w:id="1856191902">
      <w:bodyDiv w:val="1"/>
      <w:marLeft w:val="0"/>
      <w:marRight w:val="0"/>
      <w:marTop w:val="0"/>
      <w:marBottom w:val="0"/>
      <w:divBdr>
        <w:top w:val="none" w:sz="0" w:space="0" w:color="auto"/>
        <w:left w:val="none" w:sz="0" w:space="0" w:color="auto"/>
        <w:bottom w:val="none" w:sz="0" w:space="0" w:color="auto"/>
        <w:right w:val="none" w:sz="0" w:space="0" w:color="auto"/>
      </w:divBdr>
      <w:divsChild>
        <w:div w:id="1722365625">
          <w:marLeft w:val="0"/>
          <w:marRight w:val="0"/>
          <w:marTop w:val="120"/>
          <w:marBottom w:val="120"/>
          <w:divBdr>
            <w:top w:val="none" w:sz="0" w:space="0" w:color="auto"/>
            <w:left w:val="none" w:sz="0" w:space="0" w:color="auto"/>
            <w:bottom w:val="none" w:sz="0" w:space="0" w:color="auto"/>
            <w:right w:val="none" w:sz="0" w:space="0" w:color="auto"/>
          </w:divBdr>
        </w:div>
      </w:divsChild>
    </w:div>
    <w:div w:id="1872764437">
      <w:bodyDiv w:val="1"/>
      <w:marLeft w:val="0"/>
      <w:marRight w:val="0"/>
      <w:marTop w:val="0"/>
      <w:marBottom w:val="0"/>
      <w:divBdr>
        <w:top w:val="none" w:sz="0" w:space="0" w:color="auto"/>
        <w:left w:val="none" w:sz="0" w:space="0" w:color="auto"/>
        <w:bottom w:val="none" w:sz="0" w:space="0" w:color="auto"/>
        <w:right w:val="none" w:sz="0" w:space="0" w:color="auto"/>
      </w:divBdr>
    </w:div>
    <w:div w:id="1962691406">
      <w:bodyDiv w:val="1"/>
      <w:marLeft w:val="0"/>
      <w:marRight w:val="0"/>
      <w:marTop w:val="0"/>
      <w:marBottom w:val="0"/>
      <w:divBdr>
        <w:top w:val="none" w:sz="0" w:space="0" w:color="auto"/>
        <w:left w:val="none" w:sz="0" w:space="0" w:color="auto"/>
        <w:bottom w:val="none" w:sz="0" w:space="0" w:color="auto"/>
        <w:right w:val="none" w:sz="0" w:space="0" w:color="auto"/>
      </w:divBdr>
    </w:div>
    <w:div w:id="1976635761">
      <w:bodyDiv w:val="1"/>
      <w:marLeft w:val="0"/>
      <w:marRight w:val="0"/>
      <w:marTop w:val="0"/>
      <w:marBottom w:val="0"/>
      <w:divBdr>
        <w:top w:val="none" w:sz="0" w:space="0" w:color="auto"/>
        <w:left w:val="none" w:sz="0" w:space="0" w:color="auto"/>
        <w:bottom w:val="none" w:sz="0" w:space="0" w:color="auto"/>
        <w:right w:val="none" w:sz="0" w:space="0" w:color="auto"/>
      </w:divBdr>
      <w:divsChild>
        <w:div w:id="629479982">
          <w:marLeft w:val="0"/>
          <w:marRight w:val="0"/>
          <w:marTop w:val="120"/>
          <w:marBottom w:val="120"/>
          <w:divBdr>
            <w:top w:val="none" w:sz="0" w:space="0" w:color="auto"/>
            <w:left w:val="none" w:sz="0" w:space="0" w:color="auto"/>
            <w:bottom w:val="none" w:sz="0" w:space="0" w:color="auto"/>
            <w:right w:val="none" w:sz="0" w:space="0" w:color="auto"/>
          </w:divBdr>
        </w:div>
      </w:divsChild>
    </w:div>
    <w:div w:id="2016610909">
      <w:bodyDiv w:val="1"/>
      <w:marLeft w:val="0"/>
      <w:marRight w:val="0"/>
      <w:marTop w:val="0"/>
      <w:marBottom w:val="0"/>
      <w:divBdr>
        <w:top w:val="none" w:sz="0" w:space="0" w:color="auto"/>
        <w:left w:val="none" w:sz="0" w:space="0" w:color="auto"/>
        <w:bottom w:val="none" w:sz="0" w:space="0" w:color="auto"/>
        <w:right w:val="none" w:sz="0" w:space="0" w:color="auto"/>
      </w:divBdr>
    </w:div>
    <w:div w:id="2034183476">
      <w:bodyDiv w:val="1"/>
      <w:marLeft w:val="0"/>
      <w:marRight w:val="0"/>
      <w:marTop w:val="0"/>
      <w:marBottom w:val="0"/>
      <w:divBdr>
        <w:top w:val="none" w:sz="0" w:space="0" w:color="auto"/>
        <w:left w:val="none" w:sz="0" w:space="0" w:color="auto"/>
        <w:bottom w:val="none" w:sz="0" w:space="0" w:color="auto"/>
        <w:right w:val="none" w:sz="0" w:space="0" w:color="auto"/>
      </w:divBdr>
    </w:div>
    <w:div w:id="2037004838">
      <w:bodyDiv w:val="1"/>
      <w:marLeft w:val="0"/>
      <w:marRight w:val="0"/>
      <w:marTop w:val="0"/>
      <w:marBottom w:val="0"/>
      <w:divBdr>
        <w:top w:val="none" w:sz="0" w:space="0" w:color="auto"/>
        <w:left w:val="none" w:sz="0" w:space="0" w:color="auto"/>
        <w:bottom w:val="none" w:sz="0" w:space="0" w:color="auto"/>
        <w:right w:val="none" w:sz="0" w:space="0" w:color="auto"/>
      </w:divBdr>
    </w:div>
    <w:div w:id="2043821517">
      <w:bodyDiv w:val="1"/>
      <w:marLeft w:val="0"/>
      <w:marRight w:val="0"/>
      <w:marTop w:val="0"/>
      <w:marBottom w:val="0"/>
      <w:divBdr>
        <w:top w:val="none" w:sz="0" w:space="0" w:color="auto"/>
        <w:left w:val="none" w:sz="0" w:space="0" w:color="auto"/>
        <w:bottom w:val="none" w:sz="0" w:space="0" w:color="auto"/>
        <w:right w:val="none" w:sz="0" w:space="0" w:color="auto"/>
      </w:divBdr>
      <w:divsChild>
        <w:div w:id="1866094927">
          <w:marLeft w:val="0"/>
          <w:marRight w:val="0"/>
          <w:marTop w:val="120"/>
          <w:marBottom w:val="120"/>
          <w:divBdr>
            <w:top w:val="none" w:sz="0" w:space="0" w:color="auto"/>
            <w:left w:val="none" w:sz="0" w:space="0" w:color="auto"/>
            <w:bottom w:val="none" w:sz="0" w:space="0" w:color="auto"/>
            <w:right w:val="none" w:sz="0" w:space="0" w:color="auto"/>
          </w:divBdr>
        </w:div>
        <w:div w:id="1464738434">
          <w:marLeft w:val="0"/>
          <w:marRight w:val="0"/>
          <w:marTop w:val="120"/>
          <w:marBottom w:val="120"/>
          <w:divBdr>
            <w:top w:val="none" w:sz="0" w:space="0" w:color="auto"/>
            <w:left w:val="none" w:sz="0" w:space="0" w:color="auto"/>
            <w:bottom w:val="none" w:sz="0" w:space="0" w:color="auto"/>
            <w:right w:val="none" w:sz="0" w:space="0" w:color="auto"/>
          </w:divBdr>
        </w:div>
        <w:div w:id="1973630823">
          <w:marLeft w:val="0"/>
          <w:marRight w:val="0"/>
          <w:marTop w:val="120"/>
          <w:marBottom w:val="120"/>
          <w:divBdr>
            <w:top w:val="none" w:sz="0" w:space="0" w:color="auto"/>
            <w:left w:val="none" w:sz="0" w:space="0" w:color="auto"/>
            <w:bottom w:val="none" w:sz="0" w:space="0" w:color="auto"/>
            <w:right w:val="none" w:sz="0" w:space="0" w:color="auto"/>
          </w:divBdr>
        </w:div>
        <w:div w:id="234322263">
          <w:marLeft w:val="0"/>
          <w:marRight w:val="0"/>
          <w:marTop w:val="120"/>
          <w:marBottom w:val="120"/>
          <w:divBdr>
            <w:top w:val="none" w:sz="0" w:space="0" w:color="auto"/>
            <w:left w:val="none" w:sz="0" w:space="0" w:color="auto"/>
            <w:bottom w:val="none" w:sz="0" w:space="0" w:color="auto"/>
            <w:right w:val="none" w:sz="0" w:space="0" w:color="auto"/>
          </w:divBdr>
        </w:div>
        <w:div w:id="792866412">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p.com/en/global/corporate/sustainability/aims-and-progress.html" TargetMode="External"/><Relationship Id="rId13" Type="http://schemas.openxmlformats.org/officeDocument/2006/relationships/hyperlink" Target="https://unstats.un.org/sdgs/report/2023/" TargetMode="External"/><Relationship Id="rId3" Type="http://schemas.openxmlformats.org/officeDocument/2006/relationships/settings" Target="settings.xml"/><Relationship Id="rId7" Type="http://schemas.openxmlformats.org/officeDocument/2006/relationships/hyperlink" Target="https://www.bp.com/en/global/corporate/news-and-insights/press-releases/bernard-looney-announces-new-ambition-for-bp.html" TargetMode="External"/><Relationship Id="rId12" Type="http://schemas.openxmlformats.org/officeDocument/2006/relationships/hyperlink" Target="https://www.reuters.com/business/autos-transportation/ev-charging-market-analysis-2024-03-15/"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ea.org/reports/global-ev-outlook-2024"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2.deloitte.com/us/en/insights/industry/oil-and-gas/oil-and-gas-industry-outlook.html" TargetMode="External"/><Relationship Id="rId4" Type="http://schemas.openxmlformats.org/officeDocument/2006/relationships/webSettings" Target="webSettings.xml"/><Relationship Id="rId9" Type="http://schemas.openxmlformats.org/officeDocument/2006/relationships/hyperlink" Target="https://www.bloomberg.com/news/articles/2024-02-14/bp-scales-back-renewables-targets" TargetMode="External"/><Relationship Id="rId14" Type="http://schemas.openxmlformats.org/officeDocument/2006/relationships/hyperlink" Target="https://www.woodmac.com/reports/downstream-oil-global-downstream-outlook-2024-5503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3123</Words>
  <Characters>17806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Office User</cp:lastModifiedBy>
  <cp:revision>3</cp:revision>
  <cp:lastPrinted>2026-05-04T05:58:00Z</cp:lastPrinted>
  <dcterms:created xsi:type="dcterms:W3CDTF">2026-05-04T07:30:00Z</dcterms:created>
  <dcterms:modified xsi:type="dcterms:W3CDTF">2026-05-04T07:30:00Z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zotero-version="8.0.4"&gt;&lt;session id="1JIYrBL1"/&gt;&lt;style id="http://www.zotero.org/styles/harvard-cite-them-right-no-et-al" locale="en-US" hasBibliography="1" bibliographyStyleHasBeenSet="1"/&gt;&lt;prefs&gt;&lt;pref name="fieldType" value="Field"</vt:lpwstr>
  </property>
  <property fmtid="{D5CDD505-2E9C-101B-9397-08002B2CF9AE}" pid="3" name="ZOTERO_PREF_2">
    <vt:lpwstr>/&gt;&lt;/prefs&gt;&lt;/data&gt;</vt:lpwstr>
  </property>
  <property fmtid="{D5CDD505-2E9C-101B-9397-08002B2CF9AE}" pid="4" name="GrammarlyDocumentId">
    <vt:lpwstr>d0363d31-5924-4bd4-b931-9d5b79745f57</vt:lpwstr>
  </property>
</Properties>
</file>